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微软雅黑" w:hAnsi="微软雅黑" w:eastAsia="微软雅黑"/>
          <w:b/>
          <w:spacing w:val="32"/>
          <w:sz w:val="52"/>
          <w:szCs w:val="52"/>
        </w:rPr>
      </w:pPr>
      <w:r>
        <w:rPr>
          <w:rFonts w:hint="eastAsia" w:ascii="微软雅黑" w:hAnsi="微软雅黑" w:eastAsia="微软雅黑"/>
          <w:b/>
          <w:spacing w:val="32"/>
          <w:sz w:val="52"/>
          <w:szCs w:val="52"/>
        </w:rPr>
        <w:t>放心汽修认证项目</w:t>
      </w:r>
      <w:r>
        <w:rPr>
          <w:rFonts w:ascii="微软雅黑" w:hAnsi="微软雅黑" w:eastAsia="微软雅黑"/>
          <w:b/>
          <w:spacing w:val="32"/>
          <w:sz w:val="52"/>
          <w:szCs w:val="52"/>
        </w:rPr>
        <w:t>介</w:t>
      </w:r>
      <w:r>
        <w:rPr>
          <w:rFonts w:hint="eastAsia" w:ascii="微软雅黑" w:hAnsi="微软雅黑" w:eastAsia="微软雅黑"/>
          <w:b/>
          <w:spacing w:val="32"/>
          <w:sz w:val="52"/>
          <w:szCs w:val="52"/>
        </w:rPr>
        <w:t>绍</w:t>
      </w: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r>
        <w:rPr>
          <w:rFonts w:hint="eastAsia" w:asciiTheme="minorEastAsia" w:hAnsiTheme="minorEastAsia"/>
          <w:b/>
          <w:sz w:val="28"/>
          <w:szCs w:val="28"/>
        </w:rPr>
        <w:drawing>
          <wp:anchor distT="0" distB="0" distL="114300" distR="114300" simplePos="0" relativeHeight="251657216" behindDoc="0" locked="0" layoutInCell="1" allowOverlap="1">
            <wp:simplePos x="0" y="0"/>
            <wp:positionH relativeFrom="column">
              <wp:posOffset>1129665</wp:posOffset>
            </wp:positionH>
            <wp:positionV relativeFrom="paragraph">
              <wp:posOffset>144780</wp:posOffset>
            </wp:positionV>
            <wp:extent cx="2861945" cy="1589405"/>
            <wp:effectExtent l="0" t="0" r="0" b="0"/>
            <wp:wrapNone/>
            <wp:docPr id="3" name="图片 3" descr="放心汽修+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放心汽修+公司标志"/>
                    <pic:cNvPicPr>
                      <a:picLocks noChangeAspect="1"/>
                    </pic:cNvPicPr>
                  </pic:nvPicPr>
                  <pic:blipFill>
                    <a:blip r:embed="rId10"/>
                    <a:stretch>
                      <a:fillRect/>
                    </a:stretch>
                  </pic:blipFill>
                  <pic:spPr>
                    <a:xfrm>
                      <a:off x="0" y="0"/>
                      <a:ext cx="2861945" cy="1589405"/>
                    </a:xfrm>
                    <a:prstGeom prst="rect">
                      <a:avLst/>
                    </a:prstGeom>
                  </pic:spPr>
                </pic:pic>
              </a:graphicData>
            </a:graphic>
          </wp:anchor>
        </w:drawing>
      </w: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Theme="minorEastAsia" w:hAnsiTheme="minorEastAsia"/>
          <w:b/>
          <w:sz w:val="28"/>
          <w:szCs w:val="28"/>
        </w:rPr>
      </w:pPr>
    </w:p>
    <w:p>
      <w:pPr>
        <w:snapToGrid w:val="0"/>
        <w:spacing w:line="360" w:lineRule="auto"/>
        <w:jc w:val="center"/>
        <w:rPr>
          <w:rFonts w:ascii="黑体" w:hAnsi="黑体" w:eastAsia="黑体"/>
          <w:b/>
          <w:sz w:val="32"/>
          <w:szCs w:val="32"/>
        </w:rPr>
      </w:pPr>
      <w:r>
        <w:rPr>
          <w:rFonts w:hint="eastAsia" w:ascii="黑体" w:hAnsi="黑体" w:eastAsia="黑体"/>
          <w:b/>
          <w:sz w:val="32"/>
          <w:szCs w:val="32"/>
        </w:rPr>
        <w:t>中</w:t>
      </w:r>
      <w:r>
        <w:rPr>
          <w:rFonts w:ascii="黑体" w:hAnsi="黑体" w:eastAsia="黑体"/>
          <w:b/>
          <w:sz w:val="32"/>
          <w:szCs w:val="32"/>
        </w:rPr>
        <w:t>国汽车维修行业协会</w:t>
      </w:r>
    </w:p>
    <w:p>
      <w:pPr>
        <w:snapToGrid w:val="0"/>
        <w:spacing w:line="360" w:lineRule="auto"/>
        <w:jc w:val="center"/>
        <w:rPr>
          <w:rFonts w:ascii="黑体" w:hAnsi="黑体" w:eastAsia="黑体"/>
          <w:b/>
          <w:sz w:val="32"/>
          <w:szCs w:val="32"/>
        </w:rPr>
      </w:pPr>
      <w:r>
        <w:rPr>
          <w:rFonts w:hint="eastAsia" w:ascii="黑体" w:hAnsi="黑体" w:eastAsia="黑体"/>
          <w:b/>
          <w:sz w:val="32"/>
          <w:szCs w:val="32"/>
        </w:rPr>
        <w:t>放心联合</w:t>
      </w:r>
      <w:r>
        <w:rPr>
          <w:rFonts w:ascii="黑体" w:hAnsi="黑体" w:eastAsia="黑体"/>
          <w:b/>
          <w:sz w:val="32"/>
          <w:szCs w:val="32"/>
        </w:rPr>
        <w:t>认证中心</w:t>
      </w:r>
    </w:p>
    <w:p>
      <w:pPr>
        <w:snapToGrid w:val="0"/>
        <w:spacing w:line="360" w:lineRule="auto"/>
        <w:jc w:val="center"/>
        <w:rPr>
          <w:rFonts w:ascii="黑体" w:hAnsi="黑体" w:eastAsia="黑体"/>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r>
        <w:rPr>
          <w:rFonts w:hint="eastAsia" w:ascii="黑体" w:hAnsi="黑体" w:eastAsia="黑体"/>
          <w:b/>
          <w:sz w:val="28"/>
          <w:szCs w:val="28"/>
        </w:rPr>
        <w:t>201</w:t>
      </w:r>
      <w:r>
        <w:rPr>
          <w:rFonts w:hint="eastAsia" w:ascii="黑体" w:hAnsi="黑体" w:eastAsia="黑体"/>
          <w:b/>
          <w:sz w:val="28"/>
          <w:szCs w:val="28"/>
          <w:lang w:val="en-US" w:eastAsia="zh-CN"/>
        </w:rPr>
        <w:t>8</w:t>
      </w:r>
      <w:r>
        <w:rPr>
          <w:rFonts w:ascii="黑体" w:hAnsi="黑体" w:eastAsia="黑体"/>
          <w:b/>
          <w:sz w:val="28"/>
          <w:szCs w:val="28"/>
        </w:rPr>
        <w:t xml:space="preserve"> </w:t>
      </w:r>
      <w:r>
        <w:rPr>
          <w:rFonts w:ascii="黑体" w:hAnsi="黑体" w:eastAsia="黑体"/>
          <w:b/>
          <w:sz w:val="28"/>
          <w:szCs w:val="28"/>
        </w:rPr>
        <w:sym w:font="Wingdings" w:char="F0A7"/>
      </w:r>
      <w:r>
        <w:rPr>
          <w:rFonts w:hint="eastAsia" w:ascii="黑体" w:hAnsi="黑体" w:eastAsia="黑体"/>
          <w:b/>
          <w:sz w:val="28"/>
          <w:szCs w:val="28"/>
        </w:rPr>
        <w:t>北京</w:t>
      </w:r>
    </w:p>
    <w:p>
      <w:pPr>
        <w:snapToGrid w:val="0"/>
        <w:spacing w:line="360" w:lineRule="auto"/>
        <w:jc w:val="center"/>
        <w:rPr>
          <w:rFonts w:asciiTheme="minorEastAsia" w:hAnsiTheme="minorEastAsia"/>
          <w:b/>
          <w:sz w:val="24"/>
          <w:szCs w:val="24"/>
        </w:rPr>
      </w:pPr>
    </w:p>
    <w:p>
      <w:pPr>
        <w:snapToGrid w:val="0"/>
        <w:spacing w:line="360" w:lineRule="auto"/>
        <w:jc w:val="center"/>
        <w:rPr>
          <w:rFonts w:asciiTheme="minorEastAsia" w:hAnsiTheme="minorEastAsia"/>
          <w:b/>
          <w:sz w:val="24"/>
          <w:szCs w:val="24"/>
        </w:rPr>
      </w:pPr>
      <w:r>
        <w:rPr>
          <w:rFonts w:hint="eastAsia" w:asciiTheme="minorEastAsia" w:hAnsiTheme="minorEastAsia"/>
          <w:b/>
          <w:sz w:val="24"/>
          <w:szCs w:val="24"/>
        </w:rPr>
        <w:t>目  录</w:t>
      </w:r>
    </w:p>
    <w:p>
      <w:pPr>
        <w:snapToGrid w:val="0"/>
        <w:spacing w:line="360" w:lineRule="auto"/>
        <w:rPr>
          <w:rFonts w:asciiTheme="minorEastAsia" w:hAnsiTheme="minorEastAsia"/>
          <w:sz w:val="24"/>
          <w:szCs w:val="24"/>
        </w:rPr>
      </w:pPr>
    </w:p>
    <w:p>
      <w:pPr>
        <w:pStyle w:val="8"/>
        <w:tabs>
          <w:tab w:val="left" w:pos="420"/>
          <w:tab w:val="right" w:leader="dot" w:pos="8296"/>
        </w:tabs>
      </w:pPr>
      <w:r>
        <w:rPr>
          <w:rFonts w:asciiTheme="minorEastAsia" w:hAnsiTheme="minorEastAsia"/>
          <w:sz w:val="24"/>
          <w:szCs w:val="24"/>
        </w:rPr>
        <w:fldChar w:fldCharType="begin"/>
      </w:r>
      <w:r>
        <w:rPr>
          <w:rFonts w:asciiTheme="minorEastAsia" w:hAnsiTheme="minorEastAsia"/>
          <w:sz w:val="24"/>
          <w:szCs w:val="24"/>
        </w:rPr>
        <w:instrText xml:space="preserve"> TOC \o "1-2" \h \z \u </w:instrText>
      </w:r>
      <w:r>
        <w:rPr>
          <w:rFonts w:asciiTheme="minorEastAsia" w:hAnsiTheme="minorEastAsia"/>
          <w:sz w:val="24"/>
          <w:szCs w:val="24"/>
        </w:rPr>
        <w:fldChar w:fldCharType="separate"/>
      </w:r>
      <w:r>
        <w:fldChar w:fldCharType="begin"/>
      </w:r>
      <w:r>
        <w:instrText xml:space="preserve"> HYPERLINK \l "_Toc482857158" </w:instrText>
      </w:r>
      <w:r>
        <w:fldChar w:fldCharType="separate"/>
      </w:r>
      <w:r>
        <w:rPr>
          <w:rStyle w:val="12"/>
        </w:rPr>
        <w:t>1.</w:t>
      </w:r>
      <w:r>
        <w:tab/>
      </w:r>
      <w:r>
        <w:rPr>
          <w:rStyle w:val="12"/>
          <w:rFonts w:hint="eastAsia"/>
        </w:rPr>
        <w:t>认证项目简介</w:t>
      </w:r>
      <w:r>
        <w:tab/>
      </w:r>
      <w:r>
        <w:fldChar w:fldCharType="begin"/>
      </w:r>
      <w:r>
        <w:instrText xml:space="preserve"> PAGEREF _Toc482857158 \h </w:instrText>
      </w:r>
      <w:r>
        <w:fldChar w:fldCharType="separate"/>
      </w:r>
      <w:r>
        <w:t>3</w:t>
      </w:r>
      <w:r>
        <w:fldChar w:fldCharType="end"/>
      </w:r>
      <w:r>
        <w:fldChar w:fldCharType="end"/>
      </w:r>
    </w:p>
    <w:p>
      <w:pPr>
        <w:pStyle w:val="9"/>
        <w:tabs>
          <w:tab w:val="left" w:pos="1050"/>
          <w:tab w:val="right" w:leader="dot" w:pos="8296"/>
        </w:tabs>
      </w:pPr>
      <w:r>
        <w:fldChar w:fldCharType="begin"/>
      </w:r>
      <w:r>
        <w:instrText xml:space="preserve"> HYPERLINK \l "_Toc482857159" </w:instrText>
      </w:r>
      <w:r>
        <w:fldChar w:fldCharType="separate"/>
      </w:r>
      <w:r>
        <w:rPr>
          <w:rStyle w:val="12"/>
        </w:rPr>
        <w:t>1.1</w:t>
      </w:r>
      <w:r>
        <w:tab/>
      </w:r>
      <w:r>
        <w:rPr>
          <w:rStyle w:val="12"/>
          <w:rFonts w:hint="eastAsia"/>
        </w:rPr>
        <w:t>关于放心汽修认证</w:t>
      </w:r>
      <w:r>
        <w:tab/>
      </w:r>
      <w:r>
        <w:fldChar w:fldCharType="begin"/>
      </w:r>
      <w:r>
        <w:instrText xml:space="preserve"> PAGEREF _Toc482857159 \h </w:instrText>
      </w:r>
      <w:r>
        <w:fldChar w:fldCharType="separate"/>
      </w:r>
      <w:r>
        <w:t>3</w:t>
      </w:r>
      <w:r>
        <w:fldChar w:fldCharType="end"/>
      </w:r>
      <w:r>
        <w:fldChar w:fldCharType="end"/>
      </w:r>
    </w:p>
    <w:p>
      <w:pPr>
        <w:pStyle w:val="9"/>
        <w:tabs>
          <w:tab w:val="left" w:pos="1050"/>
          <w:tab w:val="right" w:leader="dot" w:pos="8296"/>
        </w:tabs>
      </w:pPr>
      <w:r>
        <w:fldChar w:fldCharType="begin"/>
      </w:r>
      <w:r>
        <w:instrText xml:space="preserve"> HYPERLINK \l "_Toc482857160" </w:instrText>
      </w:r>
      <w:r>
        <w:fldChar w:fldCharType="separate"/>
      </w:r>
      <w:r>
        <w:rPr>
          <w:rStyle w:val="12"/>
        </w:rPr>
        <w:t>1.2</w:t>
      </w:r>
      <w:r>
        <w:tab/>
      </w:r>
      <w:r>
        <w:rPr>
          <w:rStyle w:val="12"/>
          <w:rFonts w:hint="eastAsia"/>
        </w:rPr>
        <w:t>认证证书和铭牌</w:t>
      </w:r>
      <w:r>
        <w:tab/>
      </w:r>
      <w:r>
        <w:fldChar w:fldCharType="begin"/>
      </w:r>
      <w:r>
        <w:instrText xml:space="preserve"> PAGEREF _Toc482857160 \h </w:instrText>
      </w:r>
      <w:r>
        <w:fldChar w:fldCharType="separate"/>
      </w:r>
      <w:r>
        <w:t>3</w:t>
      </w:r>
      <w:r>
        <w:fldChar w:fldCharType="end"/>
      </w:r>
      <w:r>
        <w:fldChar w:fldCharType="end"/>
      </w:r>
    </w:p>
    <w:p>
      <w:pPr>
        <w:pStyle w:val="9"/>
        <w:tabs>
          <w:tab w:val="left" w:pos="1050"/>
          <w:tab w:val="right" w:leader="dot" w:pos="8296"/>
        </w:tabs>
      </w:pPr>
      <w:r>
        <w:fldChar w:fldCharType="begin"/>
      </w:r>
      <w:r>
        <w:instrText xml:space="preserve"> HYPERLINK \l "_Toc482857161" </w:instrText>
      </w:r>
      <w:r>
        <w:fldChar w:fldCharType="separate"/>
      </w:r>
      <w:r>
        <w:rPr>
          <w:rStyle w:val="12"/>
        </w:rPr>
        <w:t>1.3</w:t>
      </w:r>
      <w:r>
        <w:tab/>
      </w:r>
      <w:r>
        <w:rPr>
          <w:rStyle w:val="12"/>
          <w:rFonts w:hint="eastAsia"/>
        </w:rPr>
        <w:t>认证相关方</w:t>
      </w:r>
      <w:r>
        <w:tab/>
      </w:r>
      <w:r>
        <w:fldChar w:fldCharType="begin"/>
      </w:r>
      <w:r>
        <w:instrText xml:space="preserve"> PAGEREF _Toc482857161 \h </w:instrText>
      </w:r>
      <w:r>
        <w:fldChar w:fldCharType="separate"/>
      </w:r>
      <w:r>
        <w:t>3</w:t>
      </w:r>
      <w:r>
        <w:fldChar w:fldCharType="end"/>
      </w:r>
      <w:r>
        <w:fldChar w:fldCharType="end"/>
      </w:r>
    </w:p>
    <w:p>
      <w:pPr>
        <w:pStyle w:val="9"/>
        <w:tabs>
          <w:tab w:val="left" w:pos="1050"/>
          <w:tab w:val="right" w:leader="dot" w:pos="8296"/>
        </w:tabs>
      </w:pPr>
      <w:r>
        <w:fldChar w:fldCharType="begin"/>
      </w:r>
      <w:r>
        <w:instrText xml:space="preserve"> HYPERLINK \l "_Toc482857162" </w:instrText>
      </w:r>
      <w:r>
        <w:fldChar w:fldCharType="separate"/>
      </w:r>
      <w:r>
        <w:rPr>
          <w:rStyle w:val="12"/>
        </w:rPr>
        <w:t>1.4</w:t>
      </w:r>
      <w:r>
        <w:tab/>
      </w:r>
      <w:r>
        <w:rPr>
          <w:rStyle w:val="12"/>
          <w:rFonts w:hint="eastAsia"/>
        </w:rPr>
        <w:t>认证项目背景</w:t>
      </w:r>
      <w:r>
        <w:tab/>
      </w:r>
      <w:r>
        <w:fldChar w:fldCharType="begin"/>
      </w:r>
      <w:r>
        <w:instrText xml:space="preserve"> PAGEREF _Toc482857162 \h </w:instrText>
      </w:r>
      <w:r>
        <w:fldChar w:fldCharType="separate"/>
      </w:r>
      <w:r>
        <w:t>4</w:t>
      </w:r>
      <w:r>
        <w:fldChar w:fldCharType="end"/>
      </w:r>
      <w:r>
        <w:fldChar w:fldCharType="end"/>
      </w:r>
    </w:p>
    <w:p>
      <w:pPr>
        <w:pStyle w:val="9"/>
        <w:tabs>
          <w:tab w:val="left" w:pos="1050"/>
          <w:tab w:val="right" w:leader="dot" w:pos="8296"/>
        </w:tabs>
      </w:pPr>
      <w:r>
        <w:fldChar w:fldCharType="begin"/>
      </w:r>
      <w:r>
        <w:instrText xml:space="preserve"> HYPERLINK \l "_Toc482857163" </w:instrText>
      </w:r>
      <w:r>
        <w:fldChar w:fldCharType="separate"/>
      </w:r>
      <w:r>
        <w:rPr>
          <w:rStyle w:val="12"/>
        </w:rPr>
        <w:t>1.5</w:t>
      </w:r>
      <w:r>
        <w:tab/>
      </w:r>
      <w:r>
        <w:rPr>
          <w:rStyle w:val="12"/>
          <w:rFonts w:hint="eastAsia"/>
        </w:rPr>
        <w:t>认证评价标准</w:t>
      </w:r>
      <w:r>
        <w:tab/>
      </w:r>
      <w:r>
        <w:fldChar w:fldCharType="begin"/>
      </w:r>
      <w:r>
        <w:instrText xml:space="preserve"> PAGEREF _Toc482857163 \h </w:instrText>
      </w:r>
      <w:r>
        <w:fldChar w:fldCharType="separate"/>
      </w:r>
      <w:r>
        <w:t>4</w:t>
      </w:r>
      <w:r>
        <w:fldChar w:fldCharType="end"/>
      </w:r>
      <w:r>
        <w:fldChar w:fldCharType="end"/>
      </w:r>
    </w:p>
    <w:p>
      <w:pPr>
        <w:pStyle w:val="8"/>
        <w:tabs>
          <w:tab w:val="left" w:pos="420"/>
          <w:tab w:val="right" w:leader="dot" w:pos="8296"/>
        </w:tabs>
      </w:pPr>
      <w:r>
        <w:fldChar w:fldCharType="begin"/>
      </w:r>
      <w:r>
        <w:instrText xml:space="preserve"> HYPERLINK \l "_Toc482857164" </w:instrText>
      </w:r>
      <w:r>
        <w:fldChar w:fldCharType="separate"/>
      </w:r>
      <w:r>
        <w:rPr>
          <w:rStyle w:val="12"/>
        </w:rPr>
        <w:t>2.</w:t>
      </w:r>
      <w:r>
        <w:tab/>
      </w:r>
      <w:r>
        <w:rPr>
          <w:rStyle w:val="12"/>
          <w:rFonts w:hint="eastAsia"/>
        </w:rPr>
        <w:t>认证工作规程</w:t>
      </w:r>
      <w:r>
        <w:tab/>
      </w:r>
      <w:r>
        <w:fldChar w:fldCharType="begin"/>
      </w:r>
      <w:r>
        <w:instrText xml:space="preserve"> PAGEREF _Toc482857164 \h </w:instrText>
      </w:r>
      <w:r>
        <w:fldChar w:fldCharType="separate"/>
      </w:r>
      <w:r>
        <w:t>4</w:t>
      </w:r>
      <w:r>
        <w:fldChar w:fldCharType="end"/>
      </w:r>
      <w:r>
        <w:fldChar w:fldCharType="end"/>
      </w:r>
    </w:p>
    <w:p>
      <w:pPr>
        <w:pStyle w:val="9"/>
        <w:tabs>
          <w:tab w:val="left" w:pos="1050"/>
          <w:tab w:val="right" w:leader="dot" w:pos="8296"/>
        </w:tabs>
      </w:pPr>
      <w:r>
        <w:fldChar w:fldCharType="begin"/>
      </w:r>
      <w:r>
        <w:instrText xml:space="preserve"> HYPERLINK \l "_Toc482857165" </w:instrText>
      </w:r>
      <w:r>
        <w:fldChar w:fldCharType="separate"/>
      </w:r>
      <w:r>
        <w:rPr>
          <w:rStyle w:val="12"/>
        </w:rPr>
        <w:t>2.1</w:t>
      </w:r>
      <w:r>
        <w:tab/>
      </w:r>
      <w:r>
        <w:rPr>
          <w:rStyle w:val="12"/>
          <w:rFonts w:hint="eastAsia"/>
        </w:rPr>
        <w:t>认证流程图</w:t>
      </w:r>
      <w:r>
        <w:tab/>
      </w:r>
      <w:r>
        <w:fldChar w:fldCharType="begin"/>
      </w:r>
      <w:r>
        <w:instrText xml:space="preserve"> PAGEREF _Toc482857165 \h </w:instrText>
      </w:r>
      <w:r>
        <w:fldChar w:fldCharType="separate"/>
      </w:r>
      <w:r>
        <w:t>5</w:t>
      </w:r>
      <w:r>
        <w:fldChar w:fldCharType="end"/>
      </w:r>
      <w:r>
        <w:fldChar w:fldCharType="end"/>
      </w:r>
    </w:p>
    <w:p>
      <w:pPr>
        <w:pStyle w:val="9"/>
        <w:tabs>
          <w:tab w:val="left" w:pos="1050"/>
          <w:tab w:val="right" w:leader="dot" w:pos="8296"/>
        </w:tabs>
      </w:pPr>
      <w:r>
        <w:fldChar w:fldCharType="begin"/>
      </w:r>
      <w:r>
        <w:instrText xml:space="preserve"> HYPERLINK \l "_Toc482857166" </w:instrText>
      </w:r>
      <w:r>
        <w:fldChar w:fldCharType="separate"/>
      </w:r>
      <w:r>
        <w:rPr>
          <w:rStyle w:val="12"/>
        </w:rPr>
        <w:t>2.2</w:t>
      </w:r>
      <w:r>
        <w:tab/>
      </w:r>
      <w:r>
        <w:rPr>
          <w:rStyle w:val="12"/>
          <w:rFonts w:hint="eastAsia"/>
        </w:rPr>
        <w:t>认证申请</w:t>
      </w:r>
      <w:r>
        <w:tab/>
      </w:r>
      <w:r>
        <w:fldChar w:fldCharType="begin"/>
      </w:r>
      <w:r>
        <w:instrText xml:space="preserve"> PAGEREF _Toc482857166 \h </w:instrText>
      </w:r>
      <w:r>
        <w:fldChar w:fldCharType="separate"/>
      </w:r>
      <w:r>
        <w:t>5</w:t>
      </w:r>
      <w:r>
        <w:fldChar w:fldCharType="end"/>
      </w:r>
      <w:r>
        <w:fldChar w:fldCharType="end"/>
      </w:r>
    </w:p>
    <w:p>
      <w:pPr>
        <w:pStyle w:val="9"/>
        <w:tabs>
          <w:tab w:val="left" w:pos="1050"/>
          <w:tab w:val="right" w:leader="dot" w:pos="8296"/>
        </w:tabs>
      </w:pPr>
      <w:r>
        <w:fldChar w:fldCharType="begin"/>
      </w:r>
      <w:r>
        <w:instrText xml:space="preserve"> HYPERLINK \l "_Toc482857167" </w:instrText>
      </w:r>
      <w:r>
        <w:fldChar w:fldCharType="separate"/>
      </w:r>
      <w:r>
        <w:rPr>
          <w:rStyle w:val="12"/>
        </w:rPr>
        <w:t>2.3</w:t>
      </w:r>
      <w:r>
        <w:tab/>
      </w:r>
      <w:r>
        <w:rPr>
          <w:rStyle w:val="12"/>
          <w:rFonts w:hint="eastAsia"/>
        </w:rPr>
        <w:t>受理评审</w:t>
      </w:r>
      <w:r>
        <w:tab/>
      </w:r>
      <w:r>
        <w:fldChar w:fldCharType="begin"/>
      </w:r>
      <w:r>
        <w:instrText xml:space="preserve"> PAGEREF _Toc482857167 \h </w:instrText>
      </w:r>
      <w:r>
        <w:fldChar w:fldCharType="separate"/>
      </w:r>
      <w:r>
        <w:t>6</w:t>
      </w:r>
      <w:r>
        <w:fldChar w:fldCharType="end"/>
      </w:r>
      <w:r>
        <w:fldChar w:fldCharType="end"/>
      </w:r>
    </w:p>
    <w:p>
      <w:pPr>
        <w:pStyle w:val="9"/>
        <w:tabs>
          <w:tab w:val="left" w:pos="1050"/>
          <w:tab w:val="right" w:leader="dot" w:pos="8296"/>
        </w:tabs>
      </w:pPr>
      <w:r>
        <w:fldChar w:fldCharType="begin"/>
      </w:r>
      <w:r>
        <w:instrText xml:space="preserve"> HYPERLINK \l "_Toc482857168" </w:instrText>
      </w:r>
      <w:r>
        <w:fldChar w:fldCharType="separate"/>
      </w:r>
      <w:r>
        <w:rPr>
          <w:rStyle w:val="12"/>
        </w:rPr>
        <w:t>2.4</w:t>
      </w:r>
      <w:r>
        <w:tab/>
      </w:r>
      <w:r>
        <w:rPr>
          <w:rStyle w:val="12"/>
          <w:rFonts w:hint="eastAsia"/>
        </w:rPr>
        <w:t>签署合同</w:t>
      </w:r>
      <w:r>
        <w:tab/>
      </w:r>
      <w:r>
        <w:fldChar w:fldCharType="begin"/>
      </w:r>
      <w:r>
        <w:instrText xml:space="preserve"> PAGEREF _Toc482857168 \h </w:instrText>
      </w:r>
      <w:r>
        <w:fldChar w:fldCharType="separate"/>
      </w:r>
      <w:r>
        <w:t>6</w:t>
      </w:r>
      <w:r>
        <w:fldChar w:fldCharType="end"/>
      </w:r>
      <w:r>
        <w:fldChar w:fldCharType="end"/>
      </w:r>
    </w:p>
    <w:p>
      <w:pPr>
        <w:pStyle w:val="9"/>
        <w:tabs>
          <w:tab w:val="left" w:pos="1050"/>
          <w:tab w:val="right" w:leader="dot" w:pos="8296"/>
        </w:tabs>
      </w:pPr>
      <w:r>
        <w:fldChar w:fldCharType="begin"/>
      </w:r>
      <w:r>
        <w:instrText xml:space="preserve"> HYPERLINK \l "_Toc482857169" </w:instrText>
      </w:r>
      <w:r>
        <w:fldChar w:fldCharType="separate"/>
      </w:r>
      <w:r>
        <w:rPr>
          <w:rStyle w:val="12"/>
        </w:rPr>
        <w:t>2.5</w:t>
      </w:r>
      <w:r>
        <w:tab/>
      </w:r>
      <w:r>
        <w:rPr>
          <w:rStyle w:val="12"/>
          <w:rFonts w:hint="eastAsia"/>
        </w:rPr>
        <w:t>审查实施</w:t>
      </w:r>
      <w:r>
        <w:tab/>
      </w:r>
      <w:r>
        <w:fldChar w:fldCharType="begin"/>
      </w:r>
      <w:r>
        <w:instrText xml:space="preserve"> PAGEREF _Toc482857169 \h </w:instrText>
      </w:r>
      <w:r>
        <w:fldChar w:fldCharType="separate"/>
      </w:r>
      <w:r>
        <w:t>6</w:t>
      </w:r>
      <w:r>
        <w:fldChar w:fldCharType="end"/>
      </w:r>
      <w:r>
        <w:fldChar w:fldCharType="end"/>
      </w:r>
    </w:p>
    <w:p>
      <w:pPr>
        <w:pStyle w:val="9"/>
        <w:tabs>
          <w:tab w:val="left" w:pos="1050"/>
          <w:tab w:val="right" w:leader="dot" w:pos="8296"/>
        </w:tabs>
      </w:pPr>
      <w:r>
        <w:fldChar w:fldCharType="begin"/>
      </w:r>
      <w:r>
        <w:instrText xml:space="preserve"> HYPERLINK \l "_Toc482857170" </w:instrText>
      </w:r>
      <w:r>
        <w:fldChar w:fldCharType="separate"/>
      </w:r>
      <w:r>
        <w:rPr>
          <w:rStyle w:val="12"/>
        </w:rPr>
        <w:t>2.6</w:t>
      </w:r>
      <w:r>
        <w:tab/>
      </w:r>
      <w:r>
        <w:rPr>
          <w:rStyle w:val="12"/>
          <w:rFonts w:hint="eastAsia"/>
        </w:rPr>
        <w:t>审查结论</w:t>
      </w:r>
      <w:r>
        <w:tab/>
      </w:r>
      <w:r>
        <w:fldChar w:fldCharType="begin"/>
      </w:r>
      <w:r>
        <w:instrText xml:space="preserve"> PAGEREF _Toc482857170 \h </w:instrText>
      </w:r>
      <w:r>
        <w:fldChar w:fldCharType="separate"/>
      </w:r>
      <w:r>
        <w:t>6</w:t>
      </w:r>
      <w:r>
        <w:fldChar w:fldCharType="end"/>
      </w:r>
      <w:r>
        <w:fldChar w:fldCharType="end"/>
      </w:r>
    </w:p>
    <w:p>
      <w:pPr>
        <w:pStyle w:val="9"/>
        <w:tabs>
          <w:tab w:val="left" w:pos="1050"/>
          <w:tab w:val="right" w:leader="dot" w:pos="8296"/>
        </w:tabs>
      </w:pPr>
      <w:r>
        <w:fldChar w:fldCharType="begin"/>
      </w:r>
      <w:r>
        <w:instrText xml:space="preserve"> HYPERLINK \l "_Toc482857171" </w:instrText>
      </w:r>
      <w:r>
        <w:fldChar w:fldCharType="separate"/>
      </w:r>
      <w:r>
        <w:rPr>
          <w:rStyle w:val="12"/>
        </w:rPr>
        <w:t>2.7</w:t>
      </w:r>
      <w:r>
        <w:tab/>
      </w:r>
      <w:r>
        <w:rPr>
          <w:rStyle w:val="12"/>
          <w:rFonts w:hint="eastAsia"/>
        </w:rPr>
        <w:t>认证决定</w:t>
      </w:r>
      <w:r>
        <w:tab/>
      </w:r>
      <w:r>
        <w:fldChar w:fldCharType="begin"/>
      </w:r>
      <w:r>
        <w:instrText xml:space="preserve"> PAGEREF _Toc482857171 \h </w:instrText>
      </w:r>
      <w:r>
        <w:fldChar w:fldCharType="separate"/>
      </w:r>
      <w:r>
        <w:t>6</w:t>
      </w:r>
      <w:r>
        <w:fldChar w:fldCharType="end"/>
      </w:r>
      <w:r>
        <w:fldChar w:fldCharType="end"/>
      </w:r>
    </w:p>
    <w:p>
      <w:pPr>
        <w:pStyle w:val="9"/>
        <w:tabs>
          <w:tab w:val="left" w:pos="1050"/>
          <w:tab w:val="right" w:leader="dot" w:pos="8296"/>
        </w:tabs>
      </w:pPr>
      <w:r>
        <w:fldChar w:fldCharType="begin"/>
      </w:r>
      <w:r>
        <w:instrText xml:space="preserve"> HYPERLINK \l "_Toc482857172" </w:instrText>
      </w:r>
      <w:r>
        <w:fldChar w:fldCharType="separate"/>
      </w:r>
      <w:r>
        <w:rPr>
          <w:rStyle w:val="12"/>
        </w:rPr>
        <w:t>2.8</w:t>
      </w:r>
      <w:r>
        <w:tab/>
      </w:r>
      <w:r>
        <w:rPr>
          <w:rStyle w:val="12"/>
          <w:rFonts w:hint="eastAsia"/>
        </w:rPr>
        <w:t>颁发证书</w:t>
      </w:r>
      <w:r>
        <w:tab/>
      </w:r>
      <w:r>
        <w:fldChar w:fldCharType="begin"/>
      </w:r>
      <w:r>
        <w:instrText xml:space="preserve"> PAGEREF _Toc482857172 \h </w:instrText>
      </w:r>
      <w:r>
        <w:fldChar w:fldCharType="separate"/>
      </w:r>
      <w:r>
        <w:t>7</w:t>
      </w:r>
      <w:r>
        <w:fldChar w:fldCharType="end"/>
      </w:r>
      <w:r>
        <w:fldChar w:fldCharType="end"/>
      </w:r>
    </w:p>
    <w:p>
      <w:pPr>
        <w:pStyle w:val="8"/>
        <w:tabs>
          <w:tab w:val="left" w:pos="420"/>
          <w:tab w:val="right" w:leader="dot" w:pos="8296"/>
        </w:tabs>
      </w:pPr>
      <w:r>
        <w:fldChar w:fldCharType="begin"/>
      </w:r>
      <w:r>
        <w:instrText xml:space="preserve"> HYPERLINK \l "_Toc482857173" </w:instrText>
      </w:r>
      <w:r>
        <w:fldChar w:fldCharType="separate"/>
      </w:r>
      <w:r>
        <w:rPr>
          <w:rStyle w:val="12"/>
        </w:rPr>
        <w:t>3.</w:t>
      </w:r>
      <w:r>
        <w:tab/>
      </w:r>
      <w:r>
        <w:rPr>
          <w:rStyle w:val="12"/>
          <w:rFonts w:hint="eastAsia"/>
        </w:rPr>
        <w:t>认证评价指标</w:t>
      </w:r>
      <w:r>
        <w:tab/>
      </w:r>
      <w:r>
        <w:fldChar w:fldCharType="begin"/>
      </w:r>
      <w:r>
        <w:instrText xml:space="preserve"> PAGEREF _Toc482857173 \h </w:instrText>
      </w:r>
      <w:r>
        <w:fldChar w:fldCharType="separate"/>
      </w:r>
      <w:r>
        <w:t>7</w:t>
      </w:r>
      <w:r>
        <w:fldChar w:fldCharType="end"/>
      </w:r>
      <w:r>
        <w:fldChar w:fldCharType="end"/>
      </w:r>
    </w:p>
    <w:p>
      <w:pPr>
        <w:pStyle w:val="8"/>
        <w:tabs>
          <w:tab w:val="left" w:pos="420"/>
          <w:tab w:val="right" w:leader="dot" w:pos="8296"/>
        </w:tabs>
      </w:pPr>
      <w:r>
        <w:fldChar w:fldCharType="begin"/>
      </w:r>
      <w:r>
        <w:instrText xml:space="preserve"> HYPERLINK \l "_Toc482857174" </w:instrText>
      </w:r>
      <w:r>
        <w:fldChar w:fldCharType="separate"/>
      </w:r>
      <w:r>
        <w:rPr>
          <w:rStyle w:val="12"/>
        </w:rPr>
        <w:t>4.</w:t>
      </w:r>
      <w:r>
        <w:tab/>
      </w:r>
      <w:r>
        <w:rPr>
          <w:rStyle w:val="12"/>
          <w:rFonts w:hint="eastAsia"/>
        </w:rPr>
        <w:t>认证价值</w:t>
      </w:r>
      <w:r>
        <w:tab/>
      </w:r>
      <w:r>
        <w:fldChar w:fldCharType="begin"/>
      </w:r>
      <w:r>
        <w:instrText xml:space="preserve"> PAGEREF _Toc482857174 \h </w:instrText>
      </w:r>
      <w:r>
        <w:fldChar w:fldCharType="separate"/>
      </w:r>
      <w:r>
        <w:t>8</w:t>
      </w:r>
      <w:r>
        <w:fldChar w:fldCharType="end"/>
      </w:r>
      <w:r>
        <w:fldChar w:fldCharType="end"/>
      </w:r>
    </w:p>
    <w:p>
      <w:pPr>
        <w:pStyle w:val="9"/>
        <w:tabs>
          <w:tab w:val="left" w:pos="1050"/>
          <w:tab w:val="right" w:leader="dot" w:pos="8296"/>
        </w:tabs>
      </w:pPr>
      <w:r>
        <w:fldChar w:fldCharType="begin"/>
      </w:r>
      <w:r>
        <w:instrText xml:space="preserve"> HYPERLINK \l "_Toc482857175" </w:instrText>
      </w:r>
      <w:r>
        <w:fldChar w:fldCharType="separate"/>
      </w:r>
      <w:r>
        <w:rPr>
          <w:rStyle w:val="12"/>
        </w:rPr>
        <w:t>4.1</w:t>
      </w:r>
      <w:r>
        <w:tab/>
      </w:r>
      <w:r>
        <w:rPr>
          <w:rStyle w:val="12"/>
          <w:rFonts w:hint="eastAsia"/>
        </w:rPr>
        <w:t>内部价值</w:t>
      </w:r>
      <w:r>
        <w:tab/>
      </w:r>
      <w:r>
        <w:fldChar w:fldCharType="begin"/>
      </w:r>
      <w:r>
        <w:instrText xml:space="preserve"> PAGEREF _Toc482857175 \h </w:instrText>
      </w:r>
      <w:r>
        <w:fldChar w:fldCharType="separate"/>
      </w:r>
      <w:r>
        <w:t>8</w:t>
      </w:r>
      <w:r>
        <w:fldChar w:fldCharType="end"/>
      </w:r>
      <w:r>
        <w:fldChar w:fldCharType="end"/>
      </w:r>
    </w:p>
    <w:p>
      <w:pPr>
        <w:pStyle w:val="9"/>
        <w:tabs>
          <w:tab w:val="left" w:pos="1050"/>
          <w:tab w:val="right" w:leader="dot" w:pos="8296"/>
        </w:tabs>
      </w:pPr>
      <w:r>
        <w:fldChar w:fldCharType="begin"/>
      </w:r>
      <w:r>
        <w:instrText xml:space="preserve"> HYPERLINK \l "_Toc482857176" </w:instrText>
      </w:r>
      <w:r>
        <w:fldChar w:fldCharType="separate"/>
      </w:r>
      <w:r>
        <w:rPr>
          <w:rStyle w:val="12"/>
        </w:rPr>
        <w:t>4.2</w:t>
      </w:r>
      <w:r>
        <w:tab/>
      </w:r>
      <w:r>
        <w:rPr>
          <w:rStyle w:val="12"/>
          <w:rFonts w:hint="eastAsia"/>
        </w:rPr>
        <w:t>外部价值</w:t>
      </w:r>
      <w:r>
        <w:tab/>
      </w:r>
      <w:r>
        <w:fldChar w:fldCharType="begin"/>
      </w:r>
      <w:r>
        <w:instrText xml:space="preserve"> PAGEREF _Toc482857176 \h </w:instrText>
      </w:r>
      <w:r>
        <w:fldChar w:fldCharType="separate"/>
      </w:r>
      <w:r>
        <w:t>8</w:t>
      </w:r>
      <w:r>
        <w:fldChar w:fldCharType="end"/>
      </w:r>
      <w:r>
        <w:fldChar w:fldCharType="end"/>
      </w:r>
    </w:p>
    <w:p>
      <w:pPr>
        <w:pStyle w:val="9"/>
        <w:tabs>
          <w:tab w:val="left" w:pos="1260"/>
          <w:tab w:val="right" w:leader="dot" w:pos="8296"/>
        </w:tabs>
      </w:pPr>
      <w:r>
        <w:fldChar w:fldCharType="begin"/>
      </w:r>
      <w:r>
        <w:instrText xml:space="preserve"> HYPERLINK \l "_Toc482857177" </w:instrText>
      </w:r>
      <w:r>
        <w:fldChar w:fldCharType="separate"/>
      </w:r>
      <w:r>
        <w:rPr>
          <w:rStyle w:val="12"/>
        </w:rPr>
        <w:t>4.2.1</w:t>
      </w:r>
      <w:r>
        <w:tab/>
      </w:r>
      <w:r>
        <w:rPr>
          <w:rStyle w:val="12"/>
          <w:rFonts w:hint="eastAsia"/>
        </w:rPr>
        <w:t>证实能力</w:t>
      </w:r>
      <w:r>
        <w:tab/>
      </w:r>
      <w:r>
        <w:fldChar w:fldCharType="begin"/>
      </w:r>
      <w:r>
        <w:instrText xml:space="preserve"> PAGEREF _Toc482857177 \h </w:instrText>
      </w:r>
      <w:r>
        <w:fldChar w:fldCharType="separate"/>
      </w:r>
      <w:r>
        <w:t>8</w:t>
      </w:r>
      <w:r>
        <w:fldChar w:fldCharType="end"/>
      </w:r>
      <w:r>
        <w:fldChar w:fldCharType="end"/>
      </w:r>
    </w:p>
    <w:p>
      <w:pPr>
        <w:pStyle w:val="9"/>
        <w:tabs>
          <w:tab w:val="left" w:pos="1260"/>
          <w:tab w:val="right" w:leader="dot" w:pos="8296"/>
        </w:tabs>
      </w:pPr>
      <w:r>
        <w:fldChar w:fldCharType="begin"/>
      </w:r>
      <w:r>
        <w:instrText xml:space="preserve"> HYPERLINK \l "_Toc482857178" </w:instrText>
      </w:r>
      <w:r>
        <w:fldChar w:fldCharType="separate"/>
      </w:r>
      <w:r>
        <w:rPr>
          <w:rStyle w:val="12"/>
        </w:rPr>
        <w:t>4.2.2</w:t>
      </w:r>
      <w:r>
        <w:tab/>
      </w:r>
      <w:r>
        <w:rPr>
          <w:rStyle w:val="12"/>
          <w:rFonts w:hint="eastAsia"/>
        </w:rPr>
        <w:t>传递信任</w:t>
      </w:r>
      <w:r>
        <w:tab/>
      </w:r>
      <w:r>
        <w:fldChar w:fldCharType="begin"/>
      </w:r>
      <w:r>
        <w:instrText xml:space="preserve"> PAGEREF _Toc482857178 \h </w:instrText>
      </w:r>
      <w:r>
        <w:fldChar w:fldCharType="separate"/>
      </w:r>
      <w:r>
        <w:t>10</w:t>
      </w:r>
      <w:r>
        <w:fldChar w:fldCharType="end"/>
      </w:r>
      <w:r>
        <w:fldChar w:fldCharType="end"/>
      </w:r>
    </w:p>
    <w:p>
      <w:pPr>
        <w:pStyle w:val="9"/>
        <w:tabs>
          <w:tab w:val="left" w:pos="1260"/>
          <w:tab w:val="right" w:leader="dot" w:pos="8296"/>
        </w:tabs>
      </w:pPr>
      <w:r>
        <w:fldChar w:fldCharType="begin"/>
      </w:r>
      <w:r>
        <w:instrText xml:space="preserve"> HYPERLINK \l "_Toc482857179" </w:instrText>
      </w:r>
      <w:r>
        <w:fldChar w:fldCharType="separate"/>
      </w:r>
      <w:r>
        <w:rPr>
          <w:rStyle w:val="12"/>
        </w:rPr>
        <w:t>4.2.3</w:t>
      </w:r>
      <w:r>
        <w:tab/>
      </w:r>
      <w:r>
        <w:rPr>
          <w:rStyle w:val="12"/>
          <w:rFonts w:hint="eastAsia"/>
        </w:rPr>
        <w:t>认可与采信</w:t>
      </w:r>
      <w:r>
        <w:tab/>
      </w:r>
      <w:r>
        <w:fldChar w:fldCharType="begin"/>
      </w:r>
      <w:r>
        <w:instrText xml:space="preserve"> PAGEREF _Toc482857179 \h </w:instrText>
      </w:r>
      <w:r>
        <w:fldChar w:fldCharType="separate"/>
      </w:r>
      <w:r>
        <w:t>10</w:t>
      </w:r>
      <w:r>
        <w:fldChar w:fldCharType="end"/>
      </w:r>
      <w:r>
        <w:fldChar w:fldCharType="end"/>
      </w:r>
    </w:p>
    <w:p>
      <w:pPr>
        <w:pStyle w:val="8"/>
        <w:tabs>
          <w:tab w:val="left" w:pos="420"/>
          <w:tab w:val="right" w:leader="dot" w:pos="8296"/>
        </w:tabs>
      </w:pPr>
      <w:r>
        <w:fldChar w:fldCharType="begin"/>
      </w:r>
      <w:r>
        <w:instrText xml:space="preserve"> HYPERLINK \l "_Toc482857180" </w:instrText>
      </w:r>
      <w:r>
        <w:fldChar w:fldCharType="separate"/>
      </w:r>
      <w:r>
        <w:rPr>
          <w:rStyle w:val="12"/>
        </w:rPr>
        <w:t>5.</w:t>
      </w:r>
      <w:r>
        <w:tab/>
      </w:r>
      <w:r>
        <w:rPr>
          <w:rStyle w:val="12"/>
          <w:rFonts w:hint="eastAsia"/>
        </w:rPr>
        <w:t>认证实施机构</w:t>
      </w:r>
      <w:r>
        <w:tab/>
      </w:r>
      <w:r>
        <w:fldChar w:fldCharType="begin"/>
      </w:r>
      <w:r>
        <w:instrText xml:space="preserve"> PAGEREF _Toc482857180 \h </w:instrText>
      </w:r>
      <w:r>
        <w:fldChar w:fldCharType="separate"/>
      </w:r>
      <w:r>
        <w:t>11</w:t>
      </w:r>
      <w:r>
        <w:fldChar w:fldCharType="end"/>
      </w:r>
      <w:r>
        <w:fldChar w:fldCharType="end"/>
      </w:r>
    </w:p>
    <w:p>
      <w:pPr>
        <w:pStyle w:val="9"/>
        <w:tabs>
          <w:tab w:val="left" w:pos="1050"/>
          <w:tab w:val="right" w:leader="dot" w:pos="8296"/>
        </w:tabs>
      </w:pPr>
      <w:r>
        <w:fldChar w:fldCharType="begin"/>
      </w:r>
      <w:r>
        <w:instrText xml:space="preserve"> HYPERLINK \l "_Toc482857181" </w:instrText>
      </w:r>
      <w:r>
        <w:fldChar w:fldCharType="separate"/>
      </w:r>
      <w:r>
        <w:rPr>
          <w:rStyle w:val="12"/>
        </w:rPr>
        <w:t>5.1</w:t>
      </w:r>
      <w:r>
        <w:tab/>
      </w:r>
      <w:r>
        <w:rPr>
          <w:rStyle w:val="12"/>
          <w:rFonts w:hint="eastAsia"/>
        </w:rPr>
        <w:t>中国汽车维修行业协会</w:t>
      </w:r>
      <w:r>
        <w:tab/>
      </w:r>
      <w:r>
        <w:fldChar w:fldCharType="begin"/>
      </w:r>
      <w:r>
        <w:instrText xml:space="preserve"> PAGEREF _Toc482857181 \h </w:instrText>
      </w:r>
      <w:r>
        <w:fldChar w:fldCharType="separate"/>
      </w:r>
      <w:r>
        <w:t>11</w:t>
      </w:r>
      <w:r>
        <w:fldChar w:fldCharType="end"/>
      </w:r>
      <w:r>
        <w:fldChar w:fldCharType="end"/>
      </w:r>
    </w:p>
    <w:p>
      <w:pPr>
        <w:pStyle w:val="9"/>
        <w:tabs>
          <w:tab w:val="left" w:pos="1050"/>
          <w:tab w:val="right" w:leader="dot" w:pos="8296"/>
        </w:tabs>
      </w:pPr>
      <w:r>
        <w:fldChar w:fldCharType="begin"/>
      </w:r>
      <w:r>
        <w:instrText xml:space="preserve"> HYPERLINK \l "_Toc482857182" </w:instrText>
      </w:r>
      <w:r>
        <w:fldChar w:fldCharType="separate"/>
      </w:r>
      <w:r>
        <w:rPr>
          <w:rStyle w:val="12"/>
        </w:rPr>
        <w:t>5.2</w:t>
      </w:r>
      <w:r>
        <w:tab/>
      </w:r>
      <w:r>
        <w:rPr>
          <w:rStyle w:val="12"/>
          <w:rFonts w:hint="eastAsia"/>
        </w:rPr>
        <w:t>放心联合认证中心</w:t>
      </w:r>
      <w:r>
        <w:tab/>
      </w:r>
      <w:r>
        <w:fldChar w:fldCharType="begin"/>
      </w:r>
      <w:r>
        <w:instrText xml:space="preserve"> PAGEREF _Toc482857182 \h </w:instrText>
      </w:r>
      <w:r>
        <w:fldChar w:fldCharType="separate"/>
      </w:r>
      <w:r>
        <w:t>12</w:t>
      </w:r>
      <w:r>
        <w:fldChar w:fldCharType="end"/>
      </w:r>
      <w:r>
        <w:fldChar w:fldCharType="end"/>
      </w:r>
    </w:p>
    <w:p>
      <w:pPr>
        <w:pStyle w:val="9"/>
        <w:tabs>
          <w:tab w:val="left" w:pos="1050"/>
          <w:tab w:val="right" w:leader="dot" w:pos="8296"/>
        </w:tabs>
      </w:pPr>
      <w:r>
        <w:fldChar w:fldCharType="begin"/>
      </w:r>
      <w:r>
        <w:instrText xml:space="preserve"> HYPERLINK \l "_Toc482857183" </w:instrText>
      </w:r>
      <w:r>
        <w:fldChar w:fldCharType="separate"/>
      </w:r>
      <w:r>
        <w:rPr>
          <w:rStyle w:val="12"/>
        </w:rPr>
        <w:t>5.3</w:t>
      </w:r>
      <w:r>
        <w:tab/>
      </w:r>
      <w:r>
        <w:rPr>
          <w:rStyle w:val="12"/>
          <w:rFonts w:hint="eastAsia"/>
        </w:rPr>
        <w:t>授权合作</w:t>
      </w:r>
      <w:r>
        <w:tab/>
      </w:r>
      <w:r>
        <w:fldChar w:fldCharType="begin"/>
      </w:r>
      <w:r>
        <w:instrText xml:space="preserve"> PAGEREF _Toc482857183 \h </w:instrText>
      </w:r>
      <w:r>
        <w:fldChar w:fldCharType="separate"/>
      </w:r>
      <w:r>
        <w:t>14</w:t>
      </w:r>
      <w:r>
        <w:fldChar w:fldCharType="end"/>
      </w:r>
      <w:r>
        <w:fldChar w:fldCharType="end"/>
      </w:r>
    </w:p>
    <w:p>
      <w:pPr>
        <w:pStyle w:val="8"/>
        <w:tabs>
          <w:tab w:val="right" w:leader="dot" w:pos="8296"/>
        </w:tabs>
      </w:pPr>
      <w:r>
        <w:fldChar w:fldCharType="begin"/>
      </w:r>
      <w:r>
        <w:instrText xml:space="preserve"> HYPERLINK \l "_Toc482857184" </w:instrText>
      </w:r>
      <w:r>
        <w:fldChar w:fldCharType="separate"/>
      </w:r>
      <w:r>
        <w:rPr>
          <w:rStyle w:val="12"/>
          <w:rFonts w:hint="eastAsia"/>
        </w:rPr>
        <w:t>附件一：认证价目表</w:t>
      </w:r>
      <w:r>
        <w:tab/>
      </w:r>
      <w:r>
        <w:fldChar w:fldCharType="begin"/>
      </w:r>
      <w:r>
        <w:instrText xml:space="preserve"> PAGEREF _Toc482857184 \h </w:instrText>
      </w:r>
      <w:r>
        <w:fldChar w:fldCharType="separate"/>
      </w:r>
      <w:r>
        <w:t>15</w:t>
      </w:r>
      <w:r>
        <w:fldChar w:fldCharType="end"/>
      </w:r>
      <w:r>
        <w:fldChar w:fldCharType="end"/>
      </w:r>
    </w:p>
    <w:p>
      <w:pPr>
        <w:snapToGrid w:val="0"/>
        <w:spacing w:line="360" w:lineRule="auto"/>
        <w:rPr>
          <w:rFonts w:asciiTheme="minorEastAsia" w:hAnsiTheme="minorEastAsia"/>
          <w:sz w:val="24"/>
          <w:szCs w:val="24"/>
        </w:rPr>
        <w:sectPr>
          <w:pgSz w:w="11906" w:h="16838"/>
          <w:pgMar w:top="1440" w:right="1800" w:bottom="1440" w:left="1800" w:header="851" w:footer="992" w:gutter="0"/>
          <w:cols w:space="720" w:num="1"/>
          <w:docGrid w:type="lines" w:linePitch="312" w:charSpace="0"/>
        </w:sectPr>
      </w:pPr>
      <w:r>
        <w:rPr>
          <w:rFonts w:asciiTheme="minorEastAsia" w:hAnsiTheme="minorEastAsia"/>
          <w:sz w:val="24"/>
          <w:szCs w:val="24"/>
        </w:rPr>
        <w:fldChar w:fldCharType="end"/>
      </w:r>
    </w:p>
    <w:p/>
    <w:p>
      <w:pPr>
        <w:pStyle w:val="2"/>
        <w:numPr>
          <w:ilvl w:val="0"/>
          <w:numId w:val="1"/>
        </w:numPr>
        <w:spacing w:line="360" w:lineRule="auto"/>
        <w:rPr>
          <w:sz w:val="24"/>
          <w:szCs w:val="24"/>
        </w:rPr>
      </w:pPr>
      <w:bookmarkStart w:id="0" w:name="_Toc469991620"/>
      <w:bookmarkStart w:id="1" w:name="_Toc482857158"/>
      <w:r>
        <w:rPr>
          <w:sz w:val="24"/>
          <w:szCs w:val="24"/>
        </w:rPr>
        <w:t>认证</w:t>
      </w:r>
      <w:bookmarkEnd w:id="0"/>
      <w:r>
        <w:rPr>
          <w:rFonts w:hint="eastAsia"/>
          <w:sz w:val="24"/>
          <w:szCs w:val="24"/>
        </w:rPr>
        <w:t>项目</w:t>
      </w:r>
      <w:r>
        <w:rPr>
          <w:sz w:val="24"/>
          <w:szCs w:val="24"/>
        </w:rPr>
        <w:t>简介</w:t>
      </w:r>
      <w:bookmarkEnd w:id="1"/>
    </w:p>
    <w:p>
      <w:pPr>
        <w:pStyle w:val="3"/>
        <w:numPr>
          <w:ilvl w:val="1"/>
          <w:numId w:val="1"/>
        </w:numPr>
        <w:spacing w:line="360" w:lineRule="auto"/>
        <w:jc w:val="left"/>
        <w:rPr>
          <w:sz w:val="24"/>
          <w:szCs w:val="24"/>
        </w:rPr>
      </w:pPr>
      <w:bookmarkStart w:id="2" w:name="_Toc482857159"/>
      <w:r>
        <w:rPr>
          <w:rFonts w:hint="eastAsia"/>
          <w:sz w:val="24"/>
          <w:szCs w:val="24"/>
        </w:rPr>
        <w:t>关于</w:t>
      </w:r>
      <w:r>
        <w:rPr>
          <w:sz w:val="24"/>
          <w:szCs w:val="24"/>
        </w:rPr>
        <w:t>放心汽修认证</w:t>
      </w:r>
      <w:bookmarkEnd w:id="2"/>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放心汽修认证是中国汽车维修行业协会主导和</w:t>
      </w:r>
      <w:r>
        <w:rPr>
          <w:rFonts w:asciiTheme="minorEastAsia" w:hAnsiTheme="minorEastAsia"/>
          <w:sz w:val="24"/>
          <w:szCs w:val="24"/>
        </w:rPr>
        <w:t>授权</w:t>
      </w:r>
      <w:r>
        <w:rPr>
          <w:rFonts w:hint="eastAsia" w:asciiTheme="minorEastAsia" w:hAnsiTheme="minorEastAsia"/>
          <w:sz w:val="24"/>
          <w:szCs w:val="24"/>
        </w:rPr>
        <w:t>，在国家认证</w:t>
      </w:r>
      <w:r>
        <w:rPr>
          <w:rFonts w:asciiTheme="minorEastAsia" w:hAnsiTheme="minorEastAsia"/>
          <w:sz w:val="24"/>
          <w:szCs w:val="24"/>
        </w:rPr>
        <w:t>认可</w:t>
      </w:r>
      <w:r>
        <w:rPr>
          <w:rFonts w:hint="eastAsia" w:asciiTheme="minorEastAsia" w:hAnsiTheme="minorEastAsia"/>
          <w:sz w:val="24"/>
          <w:szCs w:val="24"/>
        </w:rPr>
        <w:t>监督</w:t>
      </w:r>
      <w:r>
        <w:rPr>
          <w:rFonts w:asciiTheme="minorEastAsia" w:hAnsiTheme="minorEastAsia"/>
          <w:sz w:val="24"/>
          <w:szCs w:val="24"/>
        </w:rPr>
        <w:t>管理</w:t>
      </w:r>
      <w:r>
        <w:rPr>
          <w:rFonts w:hint="eastAsia" w:asciiTheme="minorEastAsia" w:hAnsiTheme="minorEastAsia"/>
          <w:sz w:val="24"/>
          <w:szCs w:val="24"/>
        </w:rPr>
        <w:t>委员</w:t>
      </w:r>
      <w:r>
        <w:rPr>
          <w:rFonts w:asciiTheme="minorEastAsia" w:hAnsiTheme="minorEastAsia"/>
          <w:sz w:val="24"/>
          <w:szCs w:val="24"/>
        </w:rPr>
        <w:t>会</w:t>
      </w:r>
      <w:r>
        <w:rPr>
          <w:rFonts w:hint="eastAsia" w:asciiTheme="minorEastAsia" w:hAnsiTheme="minorEastAsia"/>
          <w:sz w:val="24"/>
          <w:szCs w:val="24"/>
        </w:rPr>
        <w:t>的监管下，依据T/CAMRA</w:t>
      </w:r>
      <w:r>
        <w:rPr>
          <w:rFonts w:asciiTheme="minorEastAsia" w:hAnsiTheme="minorEastAsia"/>
          <w:sz w:val="24"/>
          <w:szCs w:val="24"/>
        </w:rPr>
        <w:t xml:space="preserve"> 002-2016《</w:t>
      </w:r>
      <w:r>
        <w:rPr>
          <w:rFonts w:hint="eastAsia" w:asciiTheme="minorEastAsia" w:hAnsiTheme="minorEastAsia"/>
          <w:sz w:val="24"/>
          <w:szCs w:val="24"/>
        </w:rPr>
        <w:t>放心</w:t>
      </w:r>
      <w:r>
        <w:rPr>
          <w:rFonts w:asciiTheme="minorEastAsia" w:hAnsiTheme="minorEastAsia"/>
          <w:sz w:val="24"/>
          <w:szCs w:val="24"/>
        </w:rPr>
        <w:t>汽修认证评价规范》</w:t>
      </w:r>
      <w:r>
        <w:rPr>
          <w:rFonts w:hint="eastAsia" w:asciiTheme="minorEastAsia" w:hAnsiTheme="minorEastAsia"/>
          <w:sz w:val="24"/>
          <w:szCs w:val="24"/>
        </w:rPr>
        <w:t>，由放心联合认证中心负责实施的针对汽车维修服务的第三方认证项目。</w:t>
      </w:r>
    </w:p>
    <w:p>
      <w:pPr>
        <w:pStyle w:val="3"/>
        <w:numPr>
          <w:ilvl w:val="1"/>
          <w:numId w:val="1"/>
        </w:numPr>
        <w:spacing w:line="360" w:lineRule="auto"/>
        <w:jc w:val="left"/>
        <w:rPr>
          <w:sz w:val="24"/>
          <w:szCs w:val="24"/>
        </w:rPr>
      </w:pPr>
      <w:bookmarkStart w:id="3" w:name="_Toc482857160"/>
      <w:r>
        <w:rPr>
          <w:rFonts w:hint="eastAsia"/>
          <w:sz w:val="24"/>
          <w:szCs w:val="24"/>
        </w:rPr>
        <w:t>认证</w:t>
      </w:r>
      <w:r>
        <w:rPr>
          <w:sz w:val="24"/>
          <w:szCs w:val="24"/>
        </w:rPr>
        <w:t>证书</w:t>
      </w:r>
      <w:r>
        <w:rPr>
          <w:rFonts w:hint="eastAsia"/>
          <w:sz w:val="24"/>
          <w:szCs w:val="24"/>
        </w:rPr>
        <w:t>和</w:t>
      </w:r>
      <w:r>
        <w:rPr>
          <w:sz w:val="24"/>
          <w:szCs w:val="24"/>
        </w:rPr>
        <w:t>铭牌</w:t>
      </w:r>
      <w:bookmarkEnd w:id="3"/>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本项目通过可</w:t>
      </w:r>
      <w:r>
        <w:rPr>
          <w:rFonts w:asciiTheme="minorEastAsia" w:hAnsiTheme="minorEastAsia"/>
          <w:sz w:val="24"/>
          <w:szCs w:val="24"/>
        </w:rPr>
        <w:t>测</w:t>
      </w:r>
      <w:r>
        <w:rPr>
          <w:rFonts w:hint="eastAsia" w:asciiTheme="minorEastAsia" w:hAnsiTheme="minorEastAsia"/>
          <w:sz w:val="24"/>
          <w:szCs w:val="24"/>
        </w:rPr>
        <w:t>量的</w:t>
      </w:r>
      <w:r>
        <w:rPr>
          <w:rFonts w:asciiTheme="minorEastAsia" w:hAnsiTheme="minorEastAsia"/>
          <w:sz w:val="24"/>
          <w:szCs w:val="24"/>
        </w:rPr>
        <w:t>评价指标，</w:t>
      </w:r>
      <w:r>
        <w:rPr>
          <w:rFonts w:hint="eastAsia" w:asciiTheme="minorEastAsia" w:hAnsiTheme="minorEastAsia"/>
          <w:sz w:val="24"/>
          <w:szCs w:val="24"/>
        </w:rPr>
        <w:t>以</w:t>
      </w:r>
      <w:r>
        <w:rPr>
          <w:rFonts w:asciiTheme="minorEastAsia" w:hAnsiTheme="minorEastAsia"/>
          <w:sz w:val="24"/>
          <w:szCs w:val="24"/>
        </w:rPr>
        <w:t>可追溯的</w:t>
      </w:r>
      <w:r>
        <w:rPr>
          <w:rFonts w:hint="eastAsia" w:asciiTheme="minorEastAsia" w:hAnsiTheme="minorEastAsia"/>
          <w:sz w:val="24"/>
          <w:szCs w:val="24"/>
        </w:rPr>
        <w:t>认证</w:t>
      </w:r>
      <w:r>
        <w:rPr>
          <w:rFonts w:asciiTheme="minorEastAsia" w:hAnsiTheme="minorEastAsia"/>
          <w:sz w:val="24"/>
          <w:szCs w:val="24"/>
        </w:rPr>
        <w:t>过程，</w:t>
      </w:r>
      <w:r>
        <w:rPr>
          <w:rFonts w:hint="eastAsia" w:asciiTheme="minorEastAsia" w:hAnsiTheme="minorEastAsia"/>
          <w:sz w:val="24"/>
          <w:szCs w:val="24"/>
        </w:rPr>
        <w:t>对</w:t>
      </w:r>
      <w:r>
        <w:rPr>
          <w:rFonts w:asciiTheme="minorEastAsia" w:hAnsiTheme="minorEastAsia"/>
          <w:sz w:val="24"/>
          <w:szCs w:val="24"/>
        </w:rPr>
        <w:t>汽修企业</w:t>
      </w:r>
      <w:r>
        <w:rPr>
          <w:rFonts w:hint="eastAsia" w:asciiTheme="minorEastAsia" w:hAnsiTheme="minorEastAsia"/>
          <w:sz w:val="24"/>
          <w:szCs w:val="24"/>
        </w:rPr>
        <w:t>的</w:t>
      </w:r>
      <w:r>
        <w:rPr>
          <w:rFonts w:asciiTheme="minorEastAsia" w:hAnsiTheme="minorEastAsia"/>
          <w:sz w:val="24"/>
          <w:szCs w:val="24"/>
        </w:rPr>
        <w:t>诚信</w:t>
      </w:r>
      <w:r>
        <w:rPr>
          <w:rFonts w:hint="eastAsia" w:asciiTheme="minorEastAsia" w:hAnsiTheme="minorEastAsia"/>
          <w:sz w:val="24"/>
          <w:szCs w:val="24"/>
        </w:rPr>
        <w:t>、</w:t>
      </w:r>
      <w:r>
        <w:rPr>
          <w:rFonts w:asciiTheme="minorEastAsia" w:hAnsiTheme="minorEastAsia"/>
          <w:sz w:val="24"/>
          <w:szCs w:val="24"/>
        </w:rPr>
        <w:t>规范、能力、质量、服务和社会责任等</w:t>
      </w:r>
      <w:r>
        <w:rPr>
          <w:rFonts w:hint="eastAsia" w:asciiTheme="minorEastAsia" w:hAnsiTheme="minorEastAsia"/>
          <w:sz w:val="24"/>
          <w:szCs w:val="24"/>
        </w:rPr>
        <w:t>经营要</w:t>
      </w:r>
      <w:r>
        <w:rPr>
          <w:rFonts w:asciiTheme="minorEastAsia" w:hAnsiTheme="minorEastAsia"/>
          <w:sz w:val="24"/>
          <w:szCs w:val="24"/>
        </w:rPr>
        <w:t>素进行</w:t>
      </w:r>
      <w:r>
        <w:rPr>
          <w:rFonts w:hint="eastAsia" w:asciiTheme="minorEastAsia" w:hAnsiTheme="minorEastAsia"/>
          <w:sz w:val="24"/>
          <w:szCs w:val="24"/>
        </w:rPr>
        <w:t>合规</w:t>
      </w:r>
      <w:r>
        <w:rPr>
          <w:rFonts w:asciiTheme="minorEastAsia" w:hAnsiTheme="minorEastAsia"/>
          <w:sz w:val="24"/>
          <w:szCs w:val="24"/>
        </w:rPr>
        <w:t>性评价，</w:t>
      </w:r>
      <w:r>
        <w:rPr>
          <w:rFonts w:hint="eastAsia" w:asciiTheme="minorEastAsia" w:hAnsiTheme="minorEastAsia"/>
          <w:sz w:val="24"/>
          <w:szCs w:val="24"/>
        </w:rPr>
        <w:t>评价合格</w:t>
      </w:r>
      <w:r>
        <w:rPr>
          <w:rFonts w:asciiTheme="minorEastAsia" w:hAnsiTheme="minorEastAsia"/>
          <w:sz w:val="24"/>
          <w:szCs w:val="24"/>
        </w:rPr>
        <w:t>后企业将</w:t>
      </w:r>
      <w:r>
        <w:rPr>
          <w:rFonts w:hint="eastAsia" w:asciiTheme="minorEastAsia" w:hAnsiTheme="minorEastAsia"/>
          <w:sz w:val="24"/>
          <w:szCs w:val="24"/>
        </w:rPr>
        <w:t>获得：</w:t>
      </w:r>
    </w:p>
    <w:p>
      <w:pPr>
        <w:pStyle w:val="22"/>
        <w:numPr>
          <w:ilvl w:val="0"/>
          <w:numId w:val="2"/>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在国家认监</w:t>
      </w:r>
      <w:r>
        <w:rPr>
          <w:rFonts w:asciiTheme="minorEastAsia" w:hAnsiTheme="minorEastAsia"/>
          <w:sz w:val="24"/>
          <w:szCs w:val="24"/>
        </w:rPr>
        <w:t>委官网</w:t>
      </w:r>
      <w:r>
        <w:rPr>
          <w:rFonts w:hint="eastAsia" w:asciiTheme="minorEastAsia" w:hAnsiTheme="minorEastAsia"/>
          <w:sz w:val="24"/>
          <w:szCs w:val="24"/>
        </w:rPr>
        <w:t>注册</w:t>
      </w:r>
      <w:r>
        <w:rPr>
          <w:rFonts w:asciiTheme="minorEastAsia" w:hAnsiTheme="minorEastAsia"/>
          <w:sz w:val="24"/>
          <w:szCs w:val="24"/>
        </w:rPr>
        <w:t>的</w:t>
      </w:r>
      <w:r>
        <w:rPr>
          <w:rFonts w:hint="eastAsia" w:asciiTheme="minorEastAsia" w:hAnsiTheme="minorEastAsia"/>
          <w:sz w:val="24"/>
          <w:szCs w:val="24"/>
        </w:rPr>
        <w:t>放心</w:t>
      </w:r>
      <w:r>
        <w:rPr>
          <w:rFonts w:asciiTheme="minorEastAsia" w:hAnsiTheme="minorEastAsia"/>
          <w:sz w:val="24"/>
          <w:szCs w:val="24"/>
        </w:rPr>
        <w:t>汽修</w:t>
      </w:r>
      <w:r>
        <w:rPr>
          <w:rFonts w:hint="eastAsia" w:asciiTheme="minorEastAsia" w:hAnsiTheme="minorEastAsia"/>
          <w:sz w:val="24"/>
          <w:szCs w:val="24"/>
        </w:rPr>
        <w:t>认证</w:t>
      </w:r>
      <w:r>
        <w:rPr>
          <w:rFonts w:asciiTheme="minorEastAsia" w:hAnsiTheme="minorEastAsia"/>
          <w:sz w:val="24"/>
          <w:szCs w:val="24"/>
        </w:rPr>
        <w:t>证书</w:t>
      </w:r>
    </w:p>
    <w:p>
      <w:pPr>
        <w:pStyle w:val="22"/>
        <w:numPr>
          <w:ilvl w:val="0"/>
          <w:numId w:val="2"/>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中国汽车维修行业协会颁发的放心汽修铭牌</w:t>
      </w:r>
    </w:p>
    <w:p>
      <w:pPr>
        <w:snapToGrid w:val="0"/>
        <w:spacing w:line="360" w:lineRule="auto"/>
        <w:ind w:firstLine="420" w:firstLineChars="200"/>
        <w:rPr>
          <w:rFonts w:asciiTheme="minorEastAsia" w:hAnsiTheme="minorEastAsia"/>
          <w:sz w:val="24"/>
          <w:szCs w:val="24"/>
        </w:rPr>
      </w:pPr>
      <w:r>
        <w:rPr>
          <w:rFonts w:hint="eastAsia"/>
        </w:rPr>
        <w:drawing>
          <wp:anchor distT="0" distB="0" distL="114300" distR="114300" simplePos="0" relativeHeight="251665408" behindDoc="0" locked="0" layoutInCell="1" allowOverlap="1">
            <wp:simplePos x="0" y="0"/>
            <wp:positionH relativeFrom="column">
              <wp:posOffset>466725</wp:posOffset>
            </wp:positionH>
            <wp:positionV relativeFrom="paragraph">
              <wp:posOffset>13335</wp:posOffset>
            </wp:positionV>
            <wp:extent cx="1747520" cy="2471420"/>
            <wp:effectExtent l="19050" t="0" r="5080" b="0"/>
            <wp:wrapSquare wrapText="bothSides"/>
            <wp:docPr id="15" name="图片 15" descr="放心汽修认证证书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放心汽修认证证书样本"/>
                    <pic:cNvPicPr>
                      <a:picLocks noChangeAspect="1"/>
                    </pic:cNvPicPr>
                  </pic:nvPicPr>
                  <pic:blipFill>
                    <a:blip r:embed="rId11"/>
                    <a:stretch>
                      <a:fillRect/>
                    </a:stretch>
                  </pic:blipFill>
                  <pic:spPr>
                    <a:xfrm>
                      <a:off x="0" y="0"/>
                      <a:ext cx="1747520" cy="2471420"/>
                    </a:xfrm>
                    <a:prstGeom prst="rect">
                      <a:avLst/>
                    </a:prstGeom>
                  </pic:spPr>
                </pic:pic>
              </a:graphicData>
            </a:graphic>
          </wp:anchor>
        </w:drawing>
      </w:r>
    </w:p>
    <w:p>
      <w:pPr>
        <w:snapToGrid w:val="0"/>
        <w:spacing w:line="360" w:lineRule="auto"/>
        <w:rPr>
          <w:rFonts w:asciiTheme="minorEastAsia" w:hAnsiTheme="minorEastAsia"/>
          <w:color w:val="FF0000"/>
          <w:sz w:val="24"/>
          <w:szCs w:val="24"/>
        </w:rPr>
      </w:pPr>
    </w:p>
    <w:p>
      <w:pPr>
        <w:snapToGrid w:val="0"/>
        <w:spacing w:line="360" w:lineRule="auto"/>
        <w:rPr>
          <w:rFonts w:asciiTheme="minorEastAsia" w:hAnsiTheme="minorEastAsia"/>
          <w:color w:val="FF0000"/>
          <w:sz w:val="24"/>
          <w:szCs w:val="24"/>
        </w:rPr>
      </w:pPr>
      <w:r>
        <w:rPr>
          <w:rFonts w:asciiTheme="minorEastAsia" w:hAnsiTheme="minorEastAsia"/>
          <w:color w:val="FF0000"/>
          <w:sz w:val="24"/>
          <w:szCs w:val="24"/>
        </w:rPr>
        <w:drawing>
          <wp:anchor distT="0" distB="0" distL="114300" distR="114300" simplePos="0" relativeHeight="251666432" behindDoc="0" locked="0" layoutInCell="1" allowOverlap="1">
            <wp:simplePos x="0" y="0"/>
            <wp:positionH relativeFrom="column">
              <wp:posOffset>2571750</wp:posOffset>
            </wp:positionH>
            <wp:positionV relativeFrom="paragraph">
              <wp:posOffset>220345</wp:posOffset>
            </wp:positionV>
            <wp:extent cx="2358390" cy="1562100"/>
            <wp:effectExtent l="19050" t="0" r="3810" b="0"/>
            <wp:wrapSquare wrapText="bothSides"/>
            <wp:docPr id="6" name="图片 2" descr="E:\张海兵\质量部\中心文件\证书铜牌\铜牌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张海兵\质量部\中心文件\证书铜牌\铜牌样本.jpg"/>
                    <pic:cNvPicPr>
                      <a:picLocks noChangeAspect="1" noChangeArrowheads="1"/>
                    </pic:cNvPicPr>
                  </pic:nvPicPr>
                  <pic:blipFill>
                    <a:blip r:embed="rId12" cstate="print"/>
                    <a:srcRect/>
                    <a:stretch>
                      <a:fillRect/>
                    </a:stretch>
                  </pic:blipFill>
                  <pic:spPr>
                    <a:xfrm>
                      <a:off x="0" y="0"/>
                      <a:ext cx="2358390" cy="1562100"/>
                    </a:xfrm>
                    <a:prstGeom prst="rect">
                      <a:avLst/>
                    </a:prstGeom>
                    <a:noFill/>
                    <a:ln w="9525">
                      <a:noFill/>
                      <a:miter lim="800000"/>
                      <a:headEnd/>
                      <a:tailEnd/>
                    </a:ln>
                  </pic:spPr>
                </pic:pic>
              </a:graphicData>
            </a:graphic>
          </wp:anchor>
        </w:drawing>
      </w:r>
    </w:p>
    <w:p>
      <w:pPr>
        <w:snapToGrid w:val="0"/>
        <w:spacing w:line="360" w:lineRule="auto"/>
        <w:rPr>
          <w:rFonts w:asciiTheme="minorEastAsia" w:hAnsiTheme="minorEastAsia"/>
          <w:color w:val="FF0000"/>
          <w:sz w:val="24"/>
          <w:szCs w:val="24"/>
        </w:rPr>
      </w:pP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认</w:t>
      </w: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p>
    <w:p>
      <w:pPr>
        <w:snapToGrid w:val="0"/>
        <w:spacing w:line="360" w:lineRule="auto"/>
        <w:ind w:firstLine="1680" w:firstLineChars="800"/>
        <w:rPr>
          <w:rFonts w:ascii="黑体" w:hAnsi="黑体" w:eastAsia="黑体"/>
          <w:color w:val="000000" w:themeColor="text1"/>
          <w:szCs w:val="21"/>
          <w14:textFill>
            <w14:solidFill>
              <w14:schemeClr w14:val="tx1"/>
            </w14:solidFill>
          </w14:textFill>
        </w:rPr>
      </w:pPr>
    </w:p>
    <w:p>
      <w:pPr>
        <w:snapToGrid w:val="0"/>
        <w:spacing w:line="360" w:lineRule="auto"/>
        <w:ind w:firstLine="1680" w:firstLineChars="800"/>
        <w:rPr>
          <w:rFonts w:asciiTheme="minorEastAsia" w:hAnsiTheme="minorEastAsia"/>
          <w:color w:val="FF0000"/>
          <w:sz w:val="24"/>
          <w:szCs w:val="24"/>
        </w:rPr>
      </w:pPr>
      <w:r>
        <w:rPr>
          <w:rFonts w:hint="eastAsia" w:ascii="黑体" w:hAnsi="黑体" w:eastAsia="黑体"/>
          <w:color w:val="000000" w:themeColor="text1"/>
          <w:szCs w:val="21"/>
          <w14:textFill>
            <w14:solidFill>
              <w14:schemeClr w14:val="tx1"/>
            </w14:solidFill>
          </w14:textFill>
        </w:rPr>
        <w:t>认证</w:t>
      </w:r>
      <w:r>
        <w:rPr>
          <w:rFonts w:ascii="黑体" w:hAnsi="黑体" w:eastAsia="黑体"/>
          <w:color w:val="000000" w:themeColor="text1"/>
          <w:szCs w:val="21"/>
          <w14:textFill>
            <w14:solidFill>
              <w14:schemeClr w14:val="tx1"/>
            </w14:solidFill>
          </w14:textFill>
        </w:rPr>
        <w:t>证书</w:t>
      </w:r>
      <w:r>
        <w:rPr>
          <w:rFonts w:hint="eastAsia" w:ascii="黑体" w:hAnsi="黑体" w:eastAsia="黑体"/>
          <w:color w:val="000000" w:themeColor="text1"/>
          <w:szCs w:val="21"/>
          <w14:textFill>
            <w14:solidFill>
              <w14:schemeClr w14:val="tx1"/>
            </w14:solidFill>
          </w14:textFill>
        </w:rPr>
        <w:t xml:space="preserve">                           放心</w:t>
      </w:r>
      <w:r>
        <w:rPr>
          <w:rFonts w:ascii="黑体" w:hAnsi="黑体" w:eastAsia="黑体"/>
          <w:color w:val="000000" w:themeColor="text1"/>
          <w:szCs w:val="21"/>
          <w14:textFill>
            <w14:solidFill>
              <w14:schemeClr w14:val="tx1"/>
            </w14:solidFill>
          </w14:textFill>
        </w:rPr>
        <w:t>汽修铭牌</w:t>
      </w:r>
    </w:p>
    <w:p>
      <w:pPr>
        <w:pStyle w:val="3"/>
        <w:numPr>
          <w:ilvl w:val="1"/>
          <w:numId w:val="1"/>
        </w:numPr>
        <w:spacing w:line="360" w:lineRule="auto"/>
        <w:jc w:val="left"/>
        <w:rPr>
          <w:sz w:val="24"/>
          <w:szCs w:val="24"/>
        </w:rPr>
      </w:pPr>
      <w:bookmarkStart w:id="4" w:name="_Toc482857161"/>
      <w:r>
        <w:rPr>
          <w:rFonts w:hint="eastAsia"/>
          <w:sz w:val="24"/>
          <w:szCs w:val="24"/>
        </w:rPr>
        <w:t>认证</w:t>
      </w:r>
      <w:r>
        <w:rPr>
          <w:sz w:val="24"/>
          <w:szCs w:val="24"/>
        </w:rPr>
        <w:t>相关方</w:t>
      </w:r>
      <w:bookmarkEnd w:id="4"/>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汽修企业</w:t>
      </w:r>
      <w:r>
        <w:rPr>
          <w:rFonts w:hint="eastAsia" w:asciiTheme="minorEastAsia" w:hAnsiTheme="minorEastAsia"/>
          <w:sz w:val="24"/>
          <w:szCs w:val="24"/>
        </w:rPr>
        <w:t>质量</w:t>
      </w:r>
      <w:r>
        <w:rPr>
          <w:rFonts w:asciiTheme="minorEastAsia" w:hAnsiTheme="minorEastAsia"/>
          <w:sz w:val="24"/>
          <w:szCs w:val="24"/>
        </w:rPr>
        <w:t>信用</w:t>
      </w:r>
      <w:r>
        <w:rPr>
          <w:rFonts w:hint="eastAsia" w:asciiTheme="minorEastAsia" w:hAnsiTheme="minorEastAsia"/>
          <w:sz w:val="24"/>
          <w:szCs w:val="24"/>
        </w:rPr>
        <w:t>的</w:t>
      </w:r>
      <w:r>
        <w:rPr>
          <w:rFonts w:asciiTheme="minorEastAsia" w:hAnsiTheme="minorEastAsia"/>
          <w:sz w:val="24"/>
          <w:szCs w:val="24"/>
        </w:rPr>
        <w:t>第三方公示性证明</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车</w:t>
      </w:r>
      <w:r>
        <w:rPr>
          <w:rFonts w:asciiTheme="minorEastAsia" w:hAnsiTheme="minorEastAsia"/>
          <w:sz w:val="24"/>
          <w:szCs w:val="24"/>
        </w:rPr>
        <w:t>主</w:t>
      </w:r>
      <w:r>
        <w:rPr>
          <w:rFonts w:hint="eastAsia" w:asciiTheme="minorEastAsia" w:hAnsiTheme="minorEastAsia"/>
          <w:sz w:val="24"/>
          <w:szCs w:val="24"/>
        </w:rPr>
        <w:t>进行车辆维修</w:t>
      </w:r>
      <w:r>
        <w:rPr>
          <w:rFonts w:asciiTheme="minorEastAsia" w:hAnsiTheme="minorEastAsia"/>
          <w:sz w:val="24"/>
          <w:szCs w:val="24"/>
        </w:rPr>
        <w:t>保养</w:t>
      </w:r>
      <w:r>
        <w:rPr>
          <w:rFonts w:hint="eastAsia" w:asciiTheme="minorEastAsia" w:hAnsiTheme="minorEastAsia"/>
          <w:sz w:val="24"/>
          <w:szCs w:val="24"/>
        </w:rPr>
        <w:t>优</w:t>
      </w:r>
      <w:r>
        <w:rPr>
          <w:rFonts w:asciiTheme="minorEastAsia" w:hAnsiTheme="minorEastAsia"/>
          <w:sz w:val="24"/>
          <w:szCs w:val="24"/>
        </w:rPr>
        <w:t>选汽修企业的</w:t>
      </w:r>
      <w:r>
        <w:rPr>
          <w:rFonts w:hint="eastAsia" w:asciiTheme="minorEastAsia" w:hAnsiTheme="minorEastAsia"/>
          <w:sz w:val="24"/>
          <w:szCs w:val="24"/>
        </w:rPr>
        <w:t>指南</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政府行管部门</w:t>
      </w:r>
      <w:r>
        <w:rPr>
          <w:rFonts w:hint="eastAsia" w:asciiTheme="minorEastAsia" w:hAnsiTheme="minorEastAsia"/>
          <w:sz w:val="24"/>
          <w:szCs w:val="24"/>
        </w:rPr>
        <w:t>机动车</w:t>
      </w:r>
      <w:r>
        <w:rPr>
          <w:rFonts w:asciiTheme="minorEastAsia" w:hAnsiTheme="minorEastAsia"/>
          <w:sz w:val="24"/>
          <w:szCs w:val="24"/>
        </w:rPr>
        <w:t>维修</w:t>
      </w:r>
      <w:r>
        <w:rPr>
          <w:rFonts w:hint="eastAsia" w:asciiTheme="minorEastAsia" w:hAnsiTheme="minorEastAsia"/>
          <w:sz w:val="24"/>
          <w:szCs w:val="24"/>
        </w:rPr>
        <w:t>质量信誉</w:t>
      </w:r>
      <w:r>
        <w:rPr>
          <w:rFonts w:asciiTheme="minorEastAsia" w:hAnsiTheme="minorEastAsia"/>
          <w:sz w:val="24"/>
          <w:szCs w:val="24"/>
        </w:rPr>
        <w:t>考核和</w:t>
      </w:r>
      <w:r>
        <w:rPr>
          <w:rFonts w:hint="eastAsia" w:asciiTheme="minorEastAsia" w:hAnsiTheme="minorEastAsia"/>
          <w:sz w:val="24"/>
          <w:szCs w:val="24"/>
        </w:rPr>
        <w:t>相关市场</w:t>
      </w:r>
      <w:r>
        <w:rPr>
          <w:rFonts w:asciiTheme="minorEastAsia" w:hAnsiTheme="minorEastAsia"/>
          <w:sz w:val="24"/>
          <w:szCs w:val="24"/>
        </w:rPr>
        <w:t>准入</w:t>
      </w:r>
      <w:r>
        <w:rPr>
          <w:rFonts w:hint="eastAsia" w:asciiTheme="minorEastAsia" w:hAnsiTheme="minorEastAsia"/>
          <w:sz w:val="24"/>
          <w:szCs w:val="24"/>
        </w:rPr>
        <w:t>的采</w:t>
      </w:r>
      <w:r>
        <w:rPr>
          <w:rFonts w:asciiTheme="minorEastAsia" w:hAnsiTheme="minorEastAsia"/>
          <w:sz w:val="24"/>
          <w:szCs w:val="24"/>
        </w:rPr>
        <w:t>信</w:t>
      </w:r>
      <w:r>
        <w:rPr>
          <w:rFonts w:hint="eastAsia" w:asciiTheme="minorEastAsia" w:hAnsiTheme="minorEastAsia"/>
          <w:sz w:val="24"/>
          <w:szCs w:val="24"/>
        </w:rPr>
        <w:t>因素</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汽车</w:t>
      </w:r>
      <w:r>
        <w:rPr>
          <w:rFonts w:asciiTheme="minorEastAsia" w:hAnsiTheme="minorEastAsia"/>
          <w:sz w:val="24"/>
          <w:szCs w:val="24"/>
        </w:rPr>
        <w:t>主机厂、保险</w:t>
      </w:r>
      <w:r>
        <w:rPr>
          <w:rFonts w:hint="eastAsia" w:asciiTheme="minorEastAsia" w:hAnsiTheme="minorEastAsia"/>
          <w:sz w:val="24"/>
          <w:szCs w:val="24"/>
        </w:rPr>
        <w:t>公司、</w:t>
      </w:r>
      <w:r>
        <w:rPr>
          <w:rFonts w:asciiTheme="minorEastAsia" w:hAnsiTheme="minorEastAsia"/>
          <w:sz w:val="24"/>
          <w:szCs w:val="24"/>
        </w:rPr>
        <w:t>连锁机构</w:t>
      </w:r>
      <w:r>
        <w:rPr>
          <w:rFonts w:hint="eastAsia" w:asciiTheme="minorEastAsia" w:hAnsiTheme="minorEastAsia"/>
          <w:sz w:val="24"/>
          <w:szCs w:val="24"/>
        </w:rPr>
        <w:t>和</w:t>
      </w:r>
      <w:r>
        <w:rPr>
          <w:rFonts w:asciiTheme="minorEastAsia" w:hAnsiTheme="minorEastAsia"/>
          <w:sz w:val="24"/>
          <w:szCs w:val="24"/>
        </w:rPr>
        <w:t>网络服务平台</w:t>
      </w:r>
      <w:r>
        <w:rPr>
          <w:rFonts w:hint="eastAsia" w:asciiTheme="minorEastAsia" w:hAnsiTheme="minorEastAsia"/>
          <w:sz w:val="24"/>
          <w:szCs w:val="24"/>
        </w:rPr>
        <w:t>等遴选</w:t>
      </w:r>
      <w:r>
        <w:rPr>
          <w:rFonts w:asciiTheme="minorEastAsia" w:hAnsiTheme="minorEastAsia"/>
          <w:sz w:val="24"/>
          <w:szCs w:val="24"/>
        </w:rPr>
        <w:t>合作伙伴的重点</w:t>
      </w:r>
      <w:r>
        <w:rPr>
          <w:rFonts w:hint="eastAsia" w:asciiTheme="minorEastAsia" w:hAnsiTheme="minorEastAsia"/>
          <w:sz w:val="24"/>
          <w:szCs w:val="24"/>
        </w:rPr>
        <w:t>关注条件</w:t>
      </w:r>
    </w:p>
    <w:p>
      <w:pPr>
        <w:pStyle w:val="3"/>
        <w:numPr>
          <w:ilvl w:val="1"/>
          <w:numId w:val="1"/>
        </w:numPr>
        <w:spacing w:line="360" w:lineRule="auto"/>
        <w:jc w:val="left"/>
        <w:rPr>
          <w:sz w:val="24"/>
          <w:szCs w:val="24"/>
        </w:rPr>
      </w:pPr>
      <w:bookmarkStart w:id="5" w:name="_Toc482857162"/>
      <w:r>
        <w:rPr>
          <w:rFonts w:hint="eastAsia"/>
          <w:sz w:val="24"/>
          <w:szCs w:val="24"/>
        </w:rPr>
        <w:t>认证项目</w:t>
      </w:r>
      <w:r>
        <w:rPr>
          <w:sz w:val="24"/>
          <w:szCs w:val="24"/>
        </w:rPr>
        <w:t>背景</w:t>
      </w:r>
      <w:bookmarkEnd w:id="5"/>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汽修认证旨在贯彻落实“关于促进汽车维修业转型升级提升服务质量的指导意见（交运发〔2014〕186号）”的政策精神，放心汽修认证项目是整个汽修行业诚信体系建设的重要组成部分，是继汽车三包新政、同质配件、维修技术信息公开、汽车销售管理办法等反垄断举措后，通过第三方评价认证进而促进市场公平竞争的又一重大举措。</w:t>
      </w:r>
    </w:p>
    <w:p>
      <w:pPr>
        <w:pStyle w:val="3"/>
        <w:numPr>
          <w:ilvl w:val="1"/>
          <w:numId w:val="1"/>
        </w:numPr>
        <w:spacing w:line="360" w:lineRule="auto"/>
        <w:jc w:val="left"/>
        <w:rPr>
          <w:sz w:val="24"/>
          <w:szCs w:val="24"/>
        </w:rPr>
      </w:pPr>
      <w:bookmarkStart w:id="6" w:name="_Toc482857163"/>
      <w:r>
        <w:rPr>
          <w:rFonts w:hint="eastAsia"/>
          <w:sz w:val="24"/>
          <w:szCs w:val="24"/>
        </w:rPr>
        <w:t>认证评价标准</w:t>
      </w:r>
      <w:bookmarkEnd w:id="6"/>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w:t>
      </w:r>
      <w:r>
        <w:rPr>
          <w:rFonts w:asciiTheme="minorEastAsia" w:hAnsiTheme="minorEastAsia"/>
          <w:sz w:val="24"/>
          <w:szCs w:val="24"/>
        </w:rPr>
        <w:t>汽修认证评价</w:t>
      </w:r>
      <w:r>
        <w:rPr>
          <w:rFonts w:hint="eastAsia" w:asciiTheme="minorEastAsia" w:hAnsiTheme="minorEastAsia"/>
          <w:sz w:val="24"/>
          <w:szCs w:val="24"/>
        </w:rPr>
        <w:t>规范</w:t>
      </w:r>
      <w:r>
        <w:rPr>
          <w:rFonts w:asciiTheme="minorEastAsia" w:hAnsiTheme="minorEastAsia"/>
          <w:sz w:val="24"/>
          <w:szCs w:val="24"/>
        </w:rPr>
        <w:t>》</w:t>
      </w:r>
      <w:r>
        <w:rPr>
          <w:rFonts w:hint="eastAsia" w:asciiTheme="minorEastAsia" w:hAnsiTheme="minorEastAsia"/>
          <w:sz w:val="24"/>
          <w:szCs w:val="24"/>
        </w:rPr>
        <w:t>标准由中国汽车维修行业协会连锁经营工作委员会提出，由</w:t>
      </w:r>
      <w:r>
        <w:rPr>
          <w:rFonts w:asciiTheme="minorEastAsia" w:hAnsiTheme="minorEastAsia"/>
          <w:sz w:val="24"/>
          <w:szCs w:val="24"/>
        </w:rPr>
        <w:t>中国汽车维修行业协会技术和标准化委员会归口管理</w:t>
      </w:r>
      <w:r>
        <w:rPr>
          <w:rFonts w:hint="eastAsia" w:asciiTheme="minorEastAsia" w:hAnsiTheme="minorEastAsia"/>
          <w:sz w:val="24"/>
          <w:szCs w:val="24"/>
        </w:rPr>
        <w:t>，通过《关于发布中国汽车维修行业协会团体标准&lt;放心汽修认证评价规范&gt; 的通知</w:t>
      </w:r>
      <w:r>
        <w:rPr>
          <w:rFonts w:asciiTheme="minorEastAsia" w:hAnsiTheme="minorEastAsia"/>
          <w:sz w:val="24"/>
          <w:szCs w:val="24"/>
        </w:rPr>
        <w:t>》（</w:t>
      </w:r>
      <w:r>
        <w:rPr>
          <w:rFonts w:hint="eastAsia" w:asciiTheme="minorEastAsia" w:hAnsiTheme="minorEastAsia"/>
          <w:sz w:val="24"/>
          <w:szCs w:val="24"/>
        </w:rPr>
        <w:t>中</w:t>
      </w:r>
      <w:r>
        <w:rPr>
          <w:rFonts w:asciiTheme="minorEastAsia" w:hAnsiTheme="minorEastAsia"/>
          <w:sz w:val="24"/>
          <w:szCs w:val="24"/>
        </w:rPr>
        <w:t>汽修协</w:t>
      </w:r>
      <w:r>
        <w:rPr>
          <w:rFonts w:hint="eastAsia" w:asciiTheme="minorEastAsia" w:hAnsiTheme="minorEastAsia"/>
          <w:sz w:val="24"/>
          <w:szCs w:val="24"/>
        </w:rPr>
        <w:t>字[2016]</w:t>
      </w:r>
      <w:r>
        <w:rPr>
          <w:rFonts w:asciiTheme="minorEastAsia" w:hAnsiTheme="minorEastAsia"/>
          <w:sz w:val="24"/>
          <w:szCs w:val="24"/>
        </w:rPr>
        <w:t>16</w:t>
      </w:r>
      <w:r>
        <w:rPr>
          <w:rFonts w:hint="eastAsia" w:asciiTheme="minorEastAsia" w:hAnsiTheme="minorEastAsia"/>
          <w:sz w:val="24"/>
          <w:szCs w:val="24"/>
        </w:rPr>
        <w:t>号）文件向行业</w:t>
      </w:r>
      <w:r>
        <w:rPr>
          <w:rFonts w:asciiTheme="minorEastAsia" w:hAnsiTheme="minorEastAsia"/>
          <w:sz w:val="24"/>
          <w:szCs w:val="24"/>
        </w:rPr>
        <w:t>发布</w:t>
      </w:r>
      <w:r>
        <w:rPr>
          <w:rFonts w:hint="eastAsia" w:asciiTheme="minorEastAsia" w:hAnsiTheme="minorEastAsia"/>
          <w:sz w:val="24"/>
          <w:szCs w:val="24"/>
        </w:rPr>
        <w:t>、</w:t>
      </w:r>
      <w:r>
        <w:rPr>
          <w:rFonts w:asciiTheme="minorEastAsia" w:hAnsiTheme="minorEastAsia"/>
          <w:sz w:val="24"/>
          <w:szCs w:val="24"/>
        </w:rPr>
        <w:t>实施。</w:t>
      </w:r>
    </w:p>
    <w:p>
      <w:pPr>
        <w:snapToGrid w:val="0"/>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4888865" cy="2138045"/>
            <wp:effectExtent l="19050" t="0" r="6401"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3" cstate="print"/>
                    <a:srcRect/>
                    <a:stretch>
                      <a:fillRect/>
                    </a:stretch>
                  </pic:blipFill>
                  <pic:spPr>
                    <a:xfrm>
                      <a:off x="0" y="0"/>
                      <a:ext cx="4897216" cy="2141453"/>
                    </a:xfrm>
                    <a:prstGeom prst="rect">
                      <a:avLst/>
                    </a:prstGeom>
                    <a:noFill/>
                  </pic:spPr>
                </pic:pic>
              </a:graphicData>
            </a:graphic>
          </wp:inline>
        </w:drawing>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该标准由人</w:t>
      </w:r>
      <w:r>
        <w:rPr>
          <w:rFonts w:asciiTheme="minorEastAsia" w:hAnsiTheme="minorEastAsia"/>
          <w:sz w:val="24"/>
          <w:szCs w:val="24"/>
        </w:rPr>
        <w:t>民交通出版社出版发行</w:t>
      </w:r>
      <w:r>
        <w:rPr>
          <w:rFonts w:hint="eastAsia" w:asciiTheme="minorEastAsia" w:hAnsiTheme="minorEastAsia"/>
          <w:sz w:val="24"/>
          <w:szCs w:val="24"/>
        </w:rPr>
        <w:t>，国家出版物核定</w:t>
      </w:r>
      <w:r>
        <w:rPr>
          <w:rFonts w:asciiTheme="minorEastAsia" w:hAnsiTheme="minorEastAsia"/>
          <w:sz w:val="24"/>
          <w:szCs w:val="24"/>
        </w:rPr>
        <w:t>版本号</w:t>
      </w:r>
      <w:r>
        <w:rPr>
          <w:rFonts w:hint="eastAsia" w:asciiTheme="minorEastAsia" w:hAnsiTheme="minorEastAsia"/>
          <w:sz w:val="24"/>
          <w:szCs w:val="24"/>
        </w:rPr>
        <w:t>ISBN</w:t>
      </w:r>
      <w:r>
        <w:rPr>
          <w:rFonts w:asciiTheme="minorEastAsia" w:hAnsiTheme="minorEastAsia"/>
          <w:sz w:val="24"/>
          <w:szCs w:val="24"/>
        </w:rPr>
        <w:t xml:space="preserve"> 978-7-114-13027-4</w:t>
      </w:r>
      <w:r>
        <w:rPr>
          <w:rFonts w:hint="eastAsia" w:asciiTheme="minorEastAsia" w:hAnsiTheme="minorEastAsia"/>
          <w:sz w:val="24"/>
          <w:szCs w:val="24"/>
        </w:rPr>
        <w:t>，</w:t>
      </w:r>
      <w:r>
        <w:rPr>
          <w:rFonts w:asciiTheme="minorEastAsia" w:hAnsiTheme="minorEastAsia"/>
          <w:sz w:val="24"/>
          <w:szCs w:val="24"/>
        </w:rPr>
        <w:t>中国版本图书馆CIP数据核字（</w:t>
      </w:r>
      <w:r>
        <w:rPr>
          <w:rFonts w:hint="eastAsia" w:asciiTheme="minorEastAsia" w:hAnsiTheme="minorEastAsia"/>
          <w:sz w:val="24"/>
          <w:szCs w:val="24"/>
        </w:rPr>
        <w:t>2016）</w:t>
      </w:r>
      <w:r>
        <w:rPr>
          <w:rFonts w:asciiTheme="minorEastAsia" w:hAnsiTheme="minorEastAsia"/>
          <w:sz w:val="24"/>
          <w:szCs w:val="24"/>
        </w:rPr>
        <w:t>第112448</w:t>
      </w:r>
      <w:r>
        <w:rPr>
          <w:rFonts w:hint="eastAsia" w:asciiTheme="minorEastAsia" w:hAnsiTheme="minorEastAsia"/>
          <w:sz w:val="24"/>
          <w:szCs w:val="24"/>
        </w:rPr>
        <w:t>号</w:t>
      </w:r>
      <w:r>
        <w:rPr>
          <w:rFonts w:asciiTheme="minorEastAsia" w:hAnsiTheme="minorEastAsia"/>
          <w:sz w:val="24"/>
          <w:szCs w:val="24"/>
        </w:rPr>
        <w:t>。</w:t>
      </w:r>
    </w:p>
    <w:p>
      <w:pPr>
        <w:pStyle w:val="2"/>
        <w:numPr>
          <w:ilvl w:val="0"/>
          <w:numId w:val="1"/>
        </w:numPr>
        <w:spacing w:line="360" w:lineRule="auto"/>
        <w:rPr>
          <w:sz w:val="24"/>
          <w:szCs w:val="24"/>
        </w:rPr>
      </w:pPr>
      <w:bookmarkStart w:id="7" w:name="_Toc482857164"/>
      <w:r>
        <w:rPr>
          <w:rFonts w:hint="eastAsia"/>
          <w:sz w:val="24"/>
          <w:szCs w:val="24"/>
        </w:rPr>
        <w:t>认证</w:t>
      </w:r>
      <w:r>
        <w:rPr>
          <w:sz w:val="24"/>
          <w:szCs w:val="24"/>
        </w:rPr>
        <w:t>工作</w:t>
      </w:r>
      <w:r>
        <w:rPr>
          <w:rFonts w:hint="eastAsia"/>
          <w:sz w:val="24"/>
          <w:szCs w:val="24"/>
        </w:rPr>
        <w:t>规</w:t>
      </w:r>
      <w:r>
        <w:rPr>
          <w:sz w:val="24"/>
          <w:szCs w:val="24"/>
        </w:rPr>
        <w:t>程</w:t>
      </w:r>
      <w:bookmarkEnd w:id="7"/>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认证评价</w:t>
      </w:r>
      <w:r>
        <w:rPr>
          <w:rFonts w:asciiTheme="minorEastAsia" w:hAnsiTheme="minorEastAsia"/>
          <w:sz w:val="24"/>
          <w:szCs w:val="24"/>
        </w:rPr>
        <w:t>工作经中国汽车维修行业协会授权</w:t>
      </w:r>
      <w:r>
        <w:rPr>
          <w:rFonts w:hint="eastAsia" w:asciiTheme="minorEastAsia" w:hAnsiTheme="minorEastAsia"/>
          <w:sz w:val="24"/>
          <w:szCs w:val="24"/>
        </w:rPr>
        <w:t>，</w:t>
      </w:r>
      <w:r>
        <w:rPr>
          <w:rFonts w:asciiTheme="minorEastAsia" w:hAnsiTheme="minorEastAsia"/>
          <w:sz w:val="24"/>
          <w:szCs w:val="24"/>
        </w:rPr>
        <w:t>由放心联合认证中心</w:t>
      </w:r>
      <w:r>
        <w:rPr>
          <w:rFonts w:hint="eastAsia" w:asciiTheme="minorEastAsia" w:hAnsiTheme="minorEastAsia"/>
          <w:sz w:val="24"/>
          <w:szCs w:val="24"/>
        </w:rPr>
        <w:t>（国家认监委</w:t>
      </w:r>
      <w:r>
        <w:rPr>
          <w:rFonts w:asciiTheme="minorEastAsia" w:hAnsiTheme="minorEastAsia"/>
          <w:sz w:val="24"/>
          <w:szCs w:val="24"/>
        </w:rPr>
        <w:t>批准设立</w:t>
      </w:r>
      <w:r>
        <w:rPr>
          <w:rFonts w:hint="eastAsia" w:asciiTheme="minorEastAsia" w:hAnsiTheme="minorEastAsia"/>
          <w:sz w:val="24"/>
          <w:szCs w:val="24"/>
        </w:rPr>
        <w:t>的</w:t>
      </w:r>
      <w:r>
        <w:rPr>
          <w:rFonts w:asciiTheme="minorEastAsia" w:hAnsiTheme="minorEastAsia"/>
          <w:sz w:val="24"/>
          <w:szCs w:val="24"/>
        </w:rPr>
        <w:t>专业认证机构</w:t>
      </w:r>
      <w:r>
        <w:rPr>
          <w:rFonts w:hint="eastAsia" w:asciiTheme="minorEastAsia" w:hAnsiTheme="minorEastAsia"/>
          <w:sz w:val="24"/>
          <w:szCs w:val="24"/>
        </w:rPr>
        <w:t>）协调</w:t>
      </w:r>
      <w:r>
        <w:rPr>
          <w:rFonts w:asciiTheme="minorEastAsia" w:hAnsiTheme="minorEastAsia"/>
          <w:sz w:val="24"/>
          <w:szCs w:val="24"/>
        </w:rPr>
        <w:t>管理和组织</w:t>
      </w:r>
      <w:r>
        <w:rPr>
          <w:rFonts w:hint="eastAsia" w:asciiTheme="minorEastAsia" w:hAnsiTheme="minorEastAsia"/>
          <w:sz w:val="24"/>
          <w:szCs w:val="24"/>
        </w:rPr>
        <w:t>实施，</w:t>
      </w:r>
      <w:r>
        <w:rPr>
          <w:rFonts w:asciiTheme="minorEastAsia" w:hAnsiTheme="minorEastAsia"/>
          <w:sz w:val="24"/>
          <w:szCs w:val="24"/>
        </w:rPr>
        <w:t>选派具有CCAA</w:t>
      </w:r>
      <w:r>
        <w:rPr>
          <w:rFonts w:hint="eastAsia" w:asciiTheme="minorEastAsia" w:hAnsiTheme="minorEastAsia"/>
          <w:sz w:val="24"/>
          <w:szCs w:val="24"/>
        </w:rPr>
        <w:t>（中国认证认可协会）</w:t>
      </w:r>
      <w:r>
        <w:rPr>
          <w:rFonts w:asciiTheme="minorEastAsia" w:hAnsiTheme="minorEastAsia"/>
          <w:sz w:val="24"/>
          <w:szCs w:val="24"/>
        </w:rPr>
        <w:t>注册资格的</w:t>
      </w:r>
      <w:r>
        <w:rPr>
          <w:rFonts w:hint="eastAsia" w:asciiTheme="minorEastAsia" w:hAnsiTheme="minorEastAsia"/>
          <w:sz w:val="24"/>
          <w:szCs w:val="24"/>
        </w:rPr>
        <w:t>服务</w:t>
      </w:r>
      <w:r>
        <w:rPr>
          <w:rFonts w:asciiTheme="minorEastAsia" w:hAnsiTheme="minorEastAsia"/>
          <w:sz w:val="24"/>
          <w:szCs w:val="24"/>
        </w:rPr>
        <w:t>认证审查员组成评价组</w:t>
      </w:r>
      <w:r>
        <w:rPr>
          <w:rFonts w:hint="eastAsia" w:asciiTheme="minorEastAsia" w:hAnsiTheme="minorEastAsia"/>
          <w:sz w:val="24"/>
          <w:szCs w:val="24"/>
        </w:rPr>
        <w:t>，</w:t>
      </w:r>
      <w:r>
        <w:rPr>
          <w:rFonts w:asciiTheme="minorEastAsia" w:hAnsiTheme="minorEastAsia"/>
          <w:sz w:val="24"/>
          <w:szCs w:val="24"/>
        </w:rPr>
        <w:t>依据</w:t>
      </w:r>
      <w:r>
        <w:rPr>
          <w:rFonts w:hint="eastAsia" w:asciiTheme="minorEastAsia" w:hAnsiTheme="minorEastAsia"/>
          <w:sz w:val="24"/>
          <w:szCs w:val="24"/>
        </w:rPr>
        <w:t>CNAS</w:t>
      </w:r>
      <w:r>
        <w:rPr>
          <w:rFonts w:asciiTheme="minorEastAsia" w:hAnsiTheme="minorEastAsia"/>
          <w:sz w:val="24"/>
          <w:szCs w:val="24"/>
        </w:rPr>
        <w:t>-SC25:2015</w:t>
      </w:r>
      <w:r>
        <w:rPr>
          <w:rFonts w:hint="eastAsia" w:asciiTheme="minorEastAsia" w:hAnsiTheme="minorEastAsia"/>
          <w:sz w:val="24"/>
          <w:szCs w:val="24"/>
        </w:rPr>
        <w:t>《服务认证</w:t>
      </w:r>
      <w:r>
        <w:rPr>
          <w:rFonts w:asciiTheme="minorEastAsia" w:hAnsiTheme="minorEastAsia"/>
          <w:sz w:val="24"/>
          <w:szCs w:val="24"/>
        </w:rPr>
        <w:t>机构认可方案</w:t>
      </w:r>
      <w:r>
        <w:rPr>
          <w:rFonts w:hint="eastAsia" w:asciiTheme="minorEastAsia" w:hAnsiTheme="minorEastAsia"/>
          <w:sz w:val="24"/>
          <w:szCs w:val="24"/>
        </w:rPr>
        <w:t>》</w:t>
      </w:r>
      <w:r>
        <w:rPr>
          <w:rFonts w:asciiTheme="minorEastAsia" w:hAnsiTheme="minorEastAsia"/>
          <w:sz w:val="24"/>
          <w:szCs w:val="24"/>
        </w:rPr>
        <w:t>实施评价</w:t>
      </w:r>
      <w:r>
        <w:rPr>
          <w:rFonts w:hint="eastAsia" w:asciiTheme="minorEastAsia" w:hAnsiTheme="minorEastAsia"/>
          <w:sz w:val="24"/>
          <w:szCs w:val="24"/>
        </w:rPr>
        <w:t>工作。</w:t>
      </w:r>
    </w:p>
    <w:p>
      <w:pPr>
        <w:pStyle w:val="3"/>
        <w:numPr>
          <w:ilvl w:val="1"/>
          <w:numId w:val="1"/>
        </w:numPr>
        <w:spacing w:line="360" w:lineRule="auto"/>
        <w:jc w:val="left"/>
        <w:rPr>
          <w:sz w:val="24"/>
          <w:szCs w:val="24"/>
        </w:rPr>
      </w:pPr>
      <w:bookmarkStart w:id="8" w:name="_Toc482857165"/>
      <w:r>
        <w:rPr>
          <w:rFonts w:hint="eastAsia"/>
          <w:sz w:val="24"/>
          <w:szCs w:val="24"/>
        </w:rPr>
        <w:t>认证流程</w:t>
      </w:r>
      <w:r>
        <w:rPr>
          <w:sz w:val="24"/>
          <w:szCs w:val="24"/>
        </w:rPr>
        <w:t>图</w:t>
      </w:r>
      <w:bookmarkEnd w:id="8"/>
    </w:p>
    <w:p>
      <w:pPr>
        <w:jc w:val="center"/>
      </w:pPr>
      <w:r>
        <w:drawing>
          <wp:inline distT="0" distB="0" distL="0" distR="0">
            <wp:extent cx="5274310" cy="2766060"/>
            <wp:effectExtent l="0" t="0" r="2540" b="0"/>
            <wp:docPr id="1" name="图片 1" descr="D:\0放心联合认证中心\市场部\图片\PPT素材\认证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放心联合认证中心\市场部\图片\PPT素材\认证流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766197"/>
                    </a:xfrm>
                    <a:prstGeom prst="rect">
                      <a:avLst/>
                    </a:prstGeom>
                    <a:noFill/>
                    <a:ln>
                      <a:noFill/>
                    </a:ln>
                  </pic:spPr>
                </pic:pic>
              </a:graphicData>
            </a:graphic>
          </wp:inline>
        </w:drawing>
      </w:r>
    </w:p>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放心汽修认证评价工作包括认证申请、受理评审、签署合同、审查实施、审查结论、认证决定和</w:t>
      </w:r>
      <w:r>
        <w:rPr>
          <w:rFonts w:asciiTheme="minorEastAsia" w:hAnsiTheme="minorEastAsia"/>
          <w:sz w:val="24"/>
          <w:szCs w:val="24"/>
        </w:rPr>
        <w:t>颁发证书</w:t>
      </w:r>
      <w:r>
        <w:rPr>
          <w:rFonts w:hint="eastAsia" w:asciiTheme="minorEastAsia" w:hAnsiTheme="minorEastAsia"/>
          <w:sz w:val="24"/>
          <w:szCs w:val="24"/>
        </w:rPr>
        <w:t>。</w:t>
      </w:r>
    </w:p>
    <w:p>
      <w:pPr>
        <w:pStyle w:val="3"/>
        <w:numPr>
          <w:ilvl w:val="1"/>
          <w:numId w:val="1"/>
        </w:numPr>
        <w:spacing w:line="360" w:lineRule="auto"/>
        <w:jc w:val="left"/>
        <w:rPr>
          <w:sz w:val="24"/>
          <w:szCs w:val="24"/>
        </w:rPr>
      </w:pPr>
      <w:bookmarkStart w:id="9" w:name="_Toc482857166"/>
      <w:r>
        <w:rPr>
          <w:rFonts w:hint="eastAsia"/>
          <w:sz w:val="24"/>
          <w:szCs w:val="24"/>
        </w:rPr>
        <w:t>认证申请</w:t>
      </w:r>
      <w:bookmarkEnd w:id="9"/>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企业</w:t>
      </w:r>
      <w:r>
        <w:rPr>
          <w:rFonts w:asciiTheme="minorEastAsia" w:hAnsiTheme="minorEastAsia"/>
          <w:sz w:val="24"/>
          <w:szCs w:val="24"/>
        </w:rPr>
        <w:t>申请放心汽修认证，</w:t>
      </w:r>
      <w:r>
        <w:rPr>
          <w:rFonts w:hint="eastAsia" w:asciiTheme="minorEastAsia" w:hAnsiTheme="minorEastAsia"/>
          <w:sz w:val="24"/>
          <w:szCs w:val="24"/>
        </w:rPr>
        <w:t>应满足以下条件：</w:t>
      </w:r>
    </w:p>
    <w:p>
      <w:pPr>
        <w:pStyle w:val="22"/>
        <w:numPr>
          <w:ilvl w:val="0"/>
          <w:numId w:val="3"/>
        </w:numPr>
        <w:snapToGrid w:val="0"/>
        <w:spacing w:line="360" w:lineRule="auto"/>
        <w:ind w:firstLineChars="0"/>
        <w:rPr>
          <w:rFonts w:asciiTheme="minorEastAsia" w:hAnsiTheme="minorEastAsia"/>
          <w:sz w:val="24"/>
          <w:szCs w:val="24"/>
        </w:rPr>
      </w:pPr>
      <w:bookmarkStart w:id="10" w:name="_Toc469991628"/>
      <w:r>
        <w:rPr>
          <w:rFonts w:asciiTheme="minorEastAsia" w:hAnsiTheme="minorEastAsia"/>
          <w:sz w:val="24"/>
          <w:szCs w:val="24"/>
        </w:rPr>
        <w:t>合法</w:t>
      </w:r>
      <w:r>
        <w:rPr>
          <w:rFonts w:hint="eastAsia" w:asciiTheme="minorEastAsia" w:hAnsiTheme="minorEastAsia"/>
          <w:sz w:val="24"/>
          <w:szCs w:val="24"/>
        </w:rPr>
        <w:t>合规</w:t>
      </w:r>
      <w:bookmarkEnd w:id="10"/>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基本判定条件是</w:t>
      </w:r>
      <w:r>
        <w:rPr>
          <w:rFonts w:asciiTheme="minorEastAsia" w:hAnsiTheme="minorEastAsia"/>
          <w:sz w:val="24"/>
          <w:szCs w:val="24"/>
        </w:rPr>
        <w:t>认证企业</w:t>
      </w:r>
      <w:r>
        <w:rPr>
          <w:rFonts w:hint="eastAsia" w:asciiTheme="minorEastAsia" w:hAnsiTheme="minorEastAsia"/>
          <w:sz w:val="24"/>
          <w:szCs w:val="24"/>
        </w:rPr>
        <w:t>具有合法的工商资质和经营资质，工商资质包括营业执照、组织机构代码证（或三证合一、五证合一），经营资质是指道路运输经营许可证（或机动车维修经营许可证），均在有效期内。</w:t>
      </w:r>
    </w:p>
    <w:p>
      <w:pPr>
        <w:pStyle w:val="22"/>
        <w:numPr>
          <w:ilvl w:val="0"/>
          <w:numId w:val="3"/>
        </w:numPr>
        <w:snapToGrid w:val="0"/>
        <w:spacing w:line="360" w:lineRule="auto"/>
        <w:ind w:firstLineChars="0"/>
        <w:rPr>
          <w:rFonts w:asciiTheme="minorEastAsia" w:hAnsiTheme="minorEastAsia"/>
          <w:sz w:val="24"/>
          <w:szCs w:val="24"/>
        </w:rPr>
      </w:pPr>
      <w:bookmarkStart w:id="11" w:name="_Toc469991629"/>
      <w:r>
        <w:rPr>
          <w:rFonts w:hint="eastAsia" w:asciiTheme="minorEastAsia" w:hAnsiTheme="minorEastAsia"/>
          <w:sz w:val="24"/>
          <w:szCs w:val="24"/>
        </w:rPr>
        <w:t>无重要负面</w:t>
      </w:r>
      <w:r>
        <w:rPr>
          <w:rFonts w:asciiTheme="minorEastAsia" w:hAnsiTheme="minorEastAsia"/>
          <w:sz w:val="24"/>
          <w:szCs w:val="24"/>
        </w:rPr>
        <w:t>事件</w:t>
      </w:r>
      <w:bookmarkEnd w:id="11"/>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企业在申请认证之前一年内未发生重大违法、违规、失信、责任事故等事件。</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满足</w:t>
      </w:r>
      <w:r>
        <w:rPr>
          <w:rFonts w:asciiTheme="minorEastAsia" w:hAnsiTheme="minorEastAsia"/>
          <w:sz w:val="24"/>
          <w:szCs w:val="24"/>
        </w:rPr>
        <w:t>以上条件</w:t>
      </w:r>
      <w:r>
        <w:rPr>
          <w:rFonts w:hint="eastAsia" w:asciiTheme="minorEastAsia" w:hAnsiTheme="minorEastAsia"/>
          <w:sz w:val="24"/>
          <w:szCs w:val="24"/>
        </w:rPr>
        <w:t>的</w:t>
      </w:r>
      <w:r>
        <w:rPr>
          <w:rFonts w:asciiTheme="minorEastAsia" w:hAnsiTheme="minorEastAsia"/>
          <w:sz w:val="24"/>
          <w:szCs w:val="24"/>
        </w:rPr>
        <w:t>企业可</w:t>
      </w:r>
      <w:r>
        <w:rPr>
          <w:rFonts w:hint="eastAsia" w:asciiTheme="minorEastAsia" w:hAnsiTheme="minorEastAsia"/>
          <w:sz w:val="24"/>
          <w:szCs w:val="24"/>
        </w:rPr>
        <w:t>向放心联合认证中心提出认证申请，提交认证申请书、资格证明及相关信息。</w:t>
      </w:r>
    </w:p>
    <w:p>
      <w:pPr>
        <w:pStyle w:val="3"/>
        <w:numPr>
          <w:ilvl w:val="1"/>
          <w:numId w:val="1"/>
        </w:numPr>
        <w:spacing w:line="360" w:lineRule="auto"/>
        <w:jc w:val="left"/>
        <w:rPr>
          <w:sz w:val="24"/>
          <w:szCs w:val="24"/>
        </w:rPr>
      </w:pPr>
      <w:bookmarkStart w:id="12" w:name="_Toc482857167"/>
      <w:bookmarkStart w:id="13" w:name="_Toc469991640"/>
      <w:bookmarkStart w:id="14" w:name="_Toc469991835"/>
      <w:r>
        <w:rPr>
          <w:rFonts w:hint="eastAsia"/>
          <w:sz w:val="24"/>
          <w:szCs w:val="24"/>
        </w:rPr>
        <w:t>受理评审</w:t>
      </w:r>
      <w:bookmarkEnd w:id="12"/>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放心联合认证中心对申请人提交的认证申请书、资格证明及相关信息进行评审。评审结果符合认证要求的可签订</w:t>
      </w:r>
      <w:r>
        <w:rPr>
          <w:rFonts w:asciiTheme="minorEastAsia" w:hAnsiTheme="minorEastAsia"/>
          <w:sz w:val="24"/>
          <w:szCs w:val="24"/>
        </w:rPr>
        <w:t>认证合同</w:t>
      </w:r>
      <w:r>
        <w:rPr>
          <w:rFonts w:hint="eastAsia" w:asciiTheme="minorEastAsia" w:hAnsiTheme="minorEastAsia"/>
          <w:sz w:val="24"/>
          <w:szCs w:val="24"/>
        </w:rPr>
        <w:t>，不符合要求的，待申请人整改后重新提交。</w:t>
      </w:r>
    </w:p>
    <w:p>
      <w:pPr>
        <w:pStyle w:val="3"/>
        <w:numPr>
          <w:ilvl w:val="1"/>
          <w:numId w:val="1"/>
        </w:numPr>
        <w:spacing w:line="360" w:lineRule="auto"/>
        <w:jc w:val="left"/>
        <w:rPr>
          <w:sz w:val="24"/>
          <w:szCs w:val="24"/>
        </w:rPr>
      </w:pPr>
      <w:bookmarkStart w:id="15" w:name="_Toc482857168"/>
      <w:r>
        <w:rPr>
          <w:rFonts w:hint="eastAsia"/>
          <w:sz w:val="24"/>
          <w:szCs w:val="24"/>
        </w:rPr>
        <w:t>签署合</w:t>
      </w:r>
      <w:bookmarkEnd w:id="13"/>
      <w:bookmarkEnd w:id="14"/>
      <w:r>
        <w:rPr>
          <w:rFonts w:hint="eastAsia"/>
          <w:sz w:val="24"/>
          <w:szCs w:val="24"/>
        </w:rPr>
        <w:t>同</w:t>
      </w:r>
      <w:bookmarkEnd w:id="15"/>
    </w:p>
    <w:p>
      <w:pPr>
        <w:snapToGrid w:val="0"/>
        <w:spacing w:line="360" w:lineRule="auto"/>
        <w:ind w:firstLine="480" w:firstLineChars="200"/>
        <w:rPr>
          <w:rFonts w:asciiTheme="minorEastAsia" w:hAnsiTheme="minorEastAsia"/>
          <w:sz w:val="24"/>
          <w:szCs w:val="24"/>
        </w:rPr>
      </w:pPr>
      <w:r>
        <w:rPr>
          <w:rFonts w:asciiTheme="minorEastAsia" w:hAnsiTheme="minorEastAsia"/>
          <w:sz w:val="24"/>
          <w:szCs w:val="24"/>
        </w:rPr>
        <w:t>申请人</w:t>
      </w:r>
      <w:r>
        <w:rPr>
          <w:rFonts w:hint="eastAsia" w:asciiTheme="minorEastAsia" w:hAnsiTheme="minorEastAsia"/>
          <w:sz w:val="24"/>
          <w:szCs w:val="24"/>
        </w:rPr>
        <w:t>可直接和</w:t>
      </w:r>
      <w:r>
        <w:rPr>
          <w:rFonts w:asciiTheme="minorEastAsia" w:hAnsiTheme="minorEastAsia"/>
          <w:sz w:val="24"/>
          <w:szCs w:val="24"/>
        </w:rPr>
        <w:t>放心联合认证中心签署认证合同</w:t>
      </w:r>
      <w:r>
        <w:rPr>
          <w:rFonts w:hint="eastAsia" w:asciiTheme="minorEastAsia" w:hAnsiTheme="minorEastAsia"/>
          <w:sz w:val="24"/>
          <w:szCs w:val="24"/>
        </w:rPr>
        <w:t>。</w:t>
      </w:r>
      <w:bookmarkStart w:id="16" w:name="_Toc469991836"/>
      <w:bookmarkStart w:id="17" w:name="_Toc469991641"/>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申请人</w:t>
      </w:r>
      <w:r>
        <w:rPr>
          <w:rFonts w:asciiTheme="minorEastAsia" w:hAnsiTheme="minorEastAsia"/>
          <w:sz w:val="24"/>
          <w:szCs w:val="24"/>
        </w:rPr>
        <w:t>也可委托其他相关方和放心联合认证中心签署认证合同</w:t>
      </w:r>
      <w:r>
        <w:rPr>
          <w:rFonts w:hint="eastAsia" w:asciiTheme="minorEastAsia" w:hAnsiTheme="minorEastAsia"/>
          <w:sz w:val="24"/>
          <w:szCs w:val="24"/>
        </w:rPr>
        <w:t>，</w:t>
      </w:r>
      <w:r>
        <w:rPr>
          <w:rFonts w:asciiTheme="minorEastAsia" w:hAnsiTheme="minorEastAsia"/>
          <w:sz w:val="24"/>
          <w:szCs w:val="24"/>
        </w:rPr>
        <w:t>但</w:t>
      </w:r>
      <w:r>
        <w:rPr>
          <w:rFonts w:hint="eastAsia" w:asciiTheme="minorEastAsia" w:hAnsiTheme="minorEastAsia"/>
          <w:sz w:val="24"/>
          <w:szCs w:val="24"/>
        </w:rPr>
        <w:t>被</w:t>
      </w:r>
      <w:r>
        <w:rPr>
          <w:rFonts w:asciiTheme="minorEastAsia" w:hAnsiTheme="minorEastAsia"/>
          <w:sz w:val="24"/>
          <w:szCs w:val="24"/>
        </w:rPr>
        <w:t>认证主体必须是申请人</w:t>
      </w:r>
      <w:r>
        <w:rPr>
          <w:rFonts w:hint="eastAsia" w:asciiTheme="minorEastAsia" w:hAnsiTheme="minorEastAsia"/>
          <w:sz w:val="24"/>
          <w:szCs w:val="24"/>
        </w:rPr>
        <w:t>。</w:t>
      </w:r>
    </w:p>
    <w:p>
      <w:pPr>
        <w:pStyle w:val="3"/>
        <w:numPr>
          <w:ilvl w:val="1"/>
          <w:numId w:val="1"/>
        </w:numPr>
        <w:spacing w:line="360" w:lineRule="auto"/>
        <w:jc w:val="left"/>
        <w:rPr>
          <w:sz w:val="24"/>
          <w:szCs w:val="24"/>
        </w:rPr>
      </w:pPr>
      <w:bookmarkStart w:id="18" w:name="_Toc482857169"/>
      <w:r>
        <w:rPr>
          <w:rFonts w:hint="eastAsia"/>
          <w:sz w:val="24"/>
          <w:szCs w:val="24"/>
        </w:rPr>
        <w:t>审查实施</w:t>
      </w:r>
      <w:bookmarkEnd w:id="18"/>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放心联合认证中心对所申请的认证项目的评价工作进行系统的策划，与申请人达成共识后确定审查方案。</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确定了审查方案后，放心联合认证中心选派</w:t>
      </w:r>
      <w:r>
        <w:rPr>
          <w:rFonts w:asciiTheme="minorEastAsia" w:hAnsiTheme="minorEastAsia"/>
          <w:sz w:val="24"/>
          <w:szCs w:val="24"/>
        </w:rPr>
        <w:t>具有CCAA注册资格的</w:t>
      </w:r>
      <w:r>
        <w:rPr>
          <w:rFonts w:hint="eastAsia" w:asciiTheme="minorEastAsia" w:hAnsiTheme="minorEastAsia"/>
          <w:sz w:val="24"/>
          <w:szCs w:val="24"/>
        </w:rPr>
        <w:t>服务</w:t>
      </w:r>
      <w:r>
        <w:rPr>
          <w:rFonts w:asciiTheme="minorEastAsia" w:hAnsiTheme="minorEastAsia"/>
          <w:sz w:val="24"/>
          <w:szCs w:val="24"/>
        </w:rPr>
        <w:t>认证审查员组成</w:t>
      </w:r>
      <w:r>
        <w:rPr>
          <w:rFonts w:hint="eastAsia" w:asciiTheme="minorEastAsia" w:hAnsiTheme="minorEastAsia"/>
          <w:sz w:val="24"/>
          <w:szCs w:val="24"/>
        </w:rPr>
        <w:t>审查</w:t>
      </w:r>
      <w:r>
        <w:rPr>
          <w:rFonts w:asciiTheme="minorEastAsia" w:hAnsiTheme="minorEastAsia"/>
          <w:sz w:val="24"/>
          <w:szCs w:val="24"/>
        </w:rPr>
        <w:t>组实施</w:t>
      </w:r>
      <w:r>
        <w:rPr>
          <w:rFonts w:hint="eastAsia" w:asciiTheme="minorEastAsia" w:hAnsiTheme="minorEastAsia"/>
          <w:sz w:val="24"/>
          <w:szCs w:val="24"/>
        </w:rPr>
        <w:t>审查</w:t>
      </w:r>
      <w:r>
        <w:rPr>
          <w:rFonts w:asciiTheme="minorEastAsia" w:hAnsiTheme="minorEastAsia"/>
          <w:sz w:val="24"/>
          <w:szCs w:val="24"/>
        </w:rPr>
        <w:t>任务</w:t>
      </w:r>
      <w:r>
        <w:rPr>
          <w:rFonts w:hint="eastAsia" w:asciiTheme="minorEastAsia" w:hAnsiTheme="minorEastAsia"/>
          <w:sz w:val="24"/>
          <w:szCs w:val="24"/>
        </w:rPr>
        <w:t>。审查组成员包括审查组长和审查员。</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审查实施过程分为文件审查和现场审查两个阶段，</w:t>
      </w:r>
      <w:r>
        <w:rPr>
          <w:rFonts w:asciiTheme="minorEastAsia" w:hAnsiTheme="minorEastAsia"/>
          <w:sz w:val="24"/>
          <w:szCs w:val="24"/>
        </w:rPr>
        <w:t>审查内容依据</w:t>
      </w:r>
      <w:r>
        <w:rPr>
          <w:rFonts w:hint="eastAsia" w:asciiTheme="minorEastAsia" w:hAnsiTheme="minorEastAsia"/>
          <w:sz w:val="24"/>
          <w:szCs w:val="24"/>
        </w:rPr>
        <w:t>《放</w:t>
      </w:r>
      <w:r>
        <w:rPr>
          <w:rFonts w:asciiTheme="minorEastAsia" w:hAnsiTheme="minorEastAsia"/>
          <w:sz w:val="24"/>
          <w:szCs w:val="24"/>
        </w:rPr>
        <w:t>心汽修认证</w:t>
      </w:r>
      <w:r>
        <w:rPr>
          <w:rFonts w:hint="eastAsia" w:asciiTheme="minorEastAsia" w:hAnsiTheme="minorEastAsia"/>
          <w:sz w:val="24"/>
          <w:szCs w:val="24"/>
        </w:rPr>
        <w:t>评</w:t>
      </w:r>
      <w:r>
        <w:rPr>
          <w:rFonts w:asciiTheme="minorEastAsia" w:hAnsiTheme="minorEastAsia"/>
          <w:sz w:val="24"/>
          <w:szCs w:val="24"/>
        </w:rPr>
        <w:t>价规范》。</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审查组在现场审查前首先对申请人提交的文件的符合性进行评审，文件</w:t>
      </w:r>
      <w:r>
        <w:rPr>
          <w:rFonts w:asciiTheme="minorEastAsia" w:hAnsiTheme="minorEastAsia"/>
          <w:sz w:val="24"/>
          <w:szCs w:val="24"/>
        </w:rPr>
        <w:t>审</w:t>
      </w:r>
      <w:r>
        <w:rPr>
          <w:rFonts w:hint="eastAsia" w:asciiTheme="minorEastAsia" w:hAnsiTheme="minorEastAsia"/>
          <w:sz w:val="24"/>
          <w:szCs w:val="24"/>
        </w:rPr>
        <w:t>查</w:t>
      </w:r>
      <w:r>
        <w:rPr>
          <w:rFonts w:asciiTheme="minorEastAsia" w:hAnsiTheme="minorEastAsia"/>
          <w:sz w:val="24"/>
          <w:szCs w:val="24"/>
        </w:rPr>
        <w:t>结束，</w:t>
      </w:r>
      <w:r>
        <w:rPr>
          <w:rFonts w:hint="eastAsia" w:asciiTheme="minorEastAsia" w:hAnsiTheme="minorEastAsia"/>
          <w:sz w:val="24"/>
          <w:szCs w:val="24"/>
        </w:rPr>
        <w:t>由审查</w:t>
      </w:r>
      <w:r>
        <w:rPr>
          <w:rFonts w:asciiTheme="minorEastAsia" w:hAnsiTheme="minorEastAsia"/>
          <w:sz w:val="24"/>
          <w:szCs w:val="24"/>
        </w:rPr>
        <w:t>组长与</w:t>
      </w:r>
      <w:r>
        <w:rPr>
          <w:rFonts w:hint="eastAsia" w:asciiTheme="minorEastAsia" w:hAnsiTheme="minorEastAsia"/>
          <w:sz w:val="24"/>
          <w:szCs w:val="24"/>
        </w:rPr>
        <w:t>企业沟通</w:t>
      </w:r>
      <w:r>
        <w:rPr>
          <w:rFonts w:asciiTheme="minorEastAsia" w:hAnsiTheme="minorEastAsia"/>
          <w:sz w:val="24"/>
          <w:szCs w:val="24"/>
        </w:rPr>
        <w:t>确认审查计划</w:t>
      </w:r>
      <w:r>
        <w:rPr>
          <w:rFonts w:hint="eastAsia" w:asciiTheme="minorEastAsia" w:hAnsiTheme="minorEastAsia"/>
          <w:sz w:val="24"/>
          <w:szCs w:val="24"/>
        </w:rPr>
        <w:t>，然后</w:t>
      </w:r>
      <w:r>
        <w:rPr>
          <w:rFonts w:asciiTheme="minorEastAsia" w:hAnsiTheme="minorEastAsia"/>
          <w:sz w:val="24"/>
          <w:szCs w:val="24"/>
        </w:rPr>
        <w:t>审</w:t>
      </w:r>
      <w:r>
        <w:rPr>
          <w:rFonts w:hint="eastAsia" w:asciiTheme="minorEastAsia" w:hAnsiTheme="minorEastAsia"/>
          <w:sz w:val="24"/>
          <w:szCs w:val="24"/>
        </w:rPr>
        <w:t>查</w:t>
      </w:r>
      <w:r>
        <w:rPr>
          <w:rFonts w:asciiTheme="minorEastAsia" w:hAnsiTheme="minorEastAsia"/>
          <w:sz w:val="24"/>
          <w:szCs w:val="24"/>
        </w:rPr>
        <w:t>组根据审查计划进行现场审查。</w:t>
      </w:r>
    </w:p>
    <w:p>
      <w:pPr>
        <w:pStyle w:val="3"/>
        <w:numPr>
          <w:ilvl w:val="1"/>
          <w:numId w:val="1"/>
        </w:numPr>
        <w:spacing w:line="360" w:lineRule="auto"/>
        <w:jc w:val="left"/>
        <w:rPr>
          <w:sz w:val="24"/>
          <w:szCs w:val="24"/>
        </w:rPr>
      </w:pPr>
      <w:bookmarkStart w:id="19" w:name="_Toc482857170"/>
      <w:r>
        <w:rPr>
          <w:rFonts w:hint="eastAsia"/>
          <w:sz w:val="24"/>
          <w:szCs w:val="24"/>
        </w:rPr>
        <w:t>审</w:t>
      </w:r>
      <w:r>
        <w:rPr>
          <w:sz w:val="24"/>
          <w:szCs w:val="24"/>
        </w:rPr>
        <w:t>查</w:t>
      </w:r>
      <w:r>
        <w:rPr>
          <w:rFonts w:hint="eastAsia"/>
          <w:sz w:val="24"/>
          <w:szCs w:val="24"/>
        </w:rPr>
        <w:t>结论</w:t>
      </w:r>
      <w:bookmarkEnd w:id="19"/>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审</w:t>
      </w:r>
      <w:r>
        <w:rPr>
          <w:rFonts w:asciiTheme="minorEastAsia" w:hAnsiTheme="minorEastAsia"/>
          <w:sz w:val="24"/>
          <w:szCs w:val="24"/>
        </w:rPr>
        <w:t>查</w:t>
      </w:r>
      <w:r>
        <w:rPr>
          <w:rFonts w:hint="eastAsia" w:asciiTheme="minorEastAsia" w:hAnsiTheme="minorEastAsia"/>
          <w:sz w:val="24"/>
          <w:szCs w:val="24"/>
        </w:rPr>
        <w:t>组根据文件</w:t>
      </w:r>
      <w:r>
        <w:rPr>
          <w:rFonts w:asciiTheme="minorEastAsia" w:hAnsiTheme="minorEastAsia"/>
          <w:sz w:val="24"/>
          <w:szCs w:val="24"/>
        </w:rPr>
        <w:t>审</w:t>
      </w:r>
      <w:r>
        <w:rPr>
          <w:rFonts w:hint="eastAsia" w:asciiTheme="minorEastAsia" w:hAnsiTheme="minorEastAsia"/>
          <w:sz w:val="24"/>
          <w:szCs w:val="24"/>
        </w:rPr>
        <w:t>查</w:t>
      </w:r>
      <w:r>
        <w:rPr>
          <w:rFonts w:asciiTheme="minorEastAsia" w:hAnsiTheme="minorEastAsia"/>
          <w:sz w:val="24"/>
          <w:szCs w:val="24"/>
        </w:rPr>
        <w:t>及</w:t>
      </w:r>
      <w:r>
        <w:rPr>
          <w:rFonts w:hint="eastAsia" w:asciiTheme="minorEastAsia" w:hAnsiTheme="minorEastAsia"/>
          <w:sz w:val="24"/>
          <w:szCs w:val="24"/>
        </w:rPr>
        <w:t>现场</w:t>
      </w:r>
      <w:r>
        <w:rPr>
          <w:rFonts w:asciiTheme="minorEastAsia" w:hAnsiTheme="minorEastAsia"/>
          <w:sz w:val="24"/>
          <w:szCs w:val="24"/>
        </w:rPr>
        <w:t>审查</w:t>
      </w:r>
      <w:r>
        <w:rPr>
          <w:rFonts w:hint="eastAsia" w:asciiTheme="minorEastAsia" w:hAnsiTheme="minorEastAsia"/>
          <w:sz w:val="24"/>
          <w:szCs w:val="24"/>
        </w:rPr>
        <w:t>结果出具</w:t>
      </w:r>
      <w:r>
        <w:rPr>
          <w:rFonts w:asciiTheme="minorEastAsia" w:hAnsiTheme="minorEastAsia"/>
          <w:sz w:val="24"/>
          <w:szCs w:val="24"/>
        </w:rPr>
        <w:t>审查报告，</w:t>
      </w:r>
      <w:r>
        <w:rPr>
          <w:rFonts w:hint="eastAsia" w:asciiTheme="minorEastAsia" w:hAnsiTheme="minorEastAsia"/>
          <w:sz w:val="24"/>
          <w:szCs w:val="24"/>
        </w:rPr>
        <w:t>给</w:t>
      </w:r>
      <w:r>
        <w:rPr>
          <w:rFonts w:asciiTheme="minorEastAsia" w:hAnsiTheme="minorEastAsia"/>
          <w:sz w:val="24"/>
          <w:szCs w:val="24"/>
        </w:rPr>
        <w:t>出</w:t>
      </w:r>
      <w:r>
        <w:rPr>
          <w:rFonts w:hint="eastAsia" w:asciiTheme="minorEastAsia" w:hAnsiTheme="minorEastAsia"/>
          <w:sz w:val="24"/>
          <w:szCs w:val="24"/>
        </w:rPr>
        <w:t>推荐性评价结论。</w:t>
      </w:r>
    </w:p>
    <w:p>
      <w:pPr>
        <w:pStyle w:val="3"/>
        <w:numPr>
          <w:ilvl w:val="1"/>
          <w:numId w:val="1"/>
        </w:numPr>
        <w:spacing w:line="360" w:lineRule="auto"/>
        <w:jc w:val="left"/>
        <w:rPr>
          <w:sz w:val="24"/>
          <w:szCs w:val="24"/>
        </w:rPr>
      </w:pPr>
      <w:bookmarkStart w:id="20" w:name="_Toc482857171"/>
      <w:r>
        <w:rPr>
          <w:rFonts w:hint="eastAsia"/>
          <w:sz w:val="24"/>
          <w:szCs w:val="24"/>
        </w:rPr>
        <w:t>认证决定</w:t>
      </w:r>
      <w:bookmarkEnd w:id="20"/>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现场</w:t>
      </w:r>
      <w:r>
        <w:rPr>
          <w:rFonts w:asciiTheme="minorEastAsia" w:hAnsiTheme="minorEastAsia"/>
          <w:sz w:val="24"/>
          <w:szCs w:val="24"/>
        </w:rPr>
        <w:t>审</w:t>
      </w:r>
      <w:r>
        <w:rPr>
          <w:rFonts w:hint="eastAsia" w:asciiTheme="minorEastAsia" w:hAnsiTheme="minorEastAsia"/>
          <w:sz w:val="24"/>
          <w:szCs w:val="24"/>
        </w:rPr>
        <w:t>查结束后，放心联合认证中心依据认证要求对现场</w:t>
      </w:r>
      <w:r>
        <w:rPr>
          <w:rFonts w:asciiTheme="minorEastAsia" w:hAnsiTheme="minorEastAsia"/>
          <w:sz w:val="24"/>
          <w:szCs w:val="24"/>
        </w:rPr>
        <w:t>审</w:t>
      </w:r>
      <w:r>
        <w:rPr>
          <w:rFonts w:hint="eastAsia" w:asciiTheme="minorEastAsia" w:hAnsiTheme="minorEastAsia"/>
          <w:sz w:val="24"/>
          <w:szCs w:val="24"/>
        </w:rPr>
        <w:t>查过程中形成的记录、报告以</w:t>
      </w:r>
      <w:r>
        <w:rPr>
          <w:rFonts w:asciiTheme="minorEastAsia" w:hAnsiTheme="minorEastAsia"/>
          <w:sz w:val="24"/>
          <w:szCs w:val="24"/>
        </w:rPr>
        <w:t>及不符合项的整改情况</w:t>
      </w:r>
      <w:r>
        <w:rPr>
          <w:rFonts w:hint="eastAsia" w:asciiTheme="minorEastAsia" w:hAnsiTheme="minorEastAsia"/>
          <w:sz w:val="24"/>
          <w:szCs w:val="24"/>
        </w:rPr>
        <w:t xml:space="preserve">进行复核，并做出最终的认证决定，即是否批准申请人认证注册。 </w:t>
      </w:r>
    </w:p>
    <w:p>
      <w:pPr>
        <w:pStyle w:val="3"/>
        <w:numPr>
          <w:ilvl w:val="1"/>
          <w:numId w:val="1"/>
        </w:numPr>
        <w:spacing w:line="360" w:lineRule="auto"/>
        <w:jc w:val="left"/>
        <w:rPr>
          <w:sz w:val="24"/>
          <w:szCs w:val="24"/>
        </w:rPr>
      </w:pPr>
      <w:bookmarkStart w:id="21" w:name="_Toc482857172"/>
      <w:r>
        <w:rPr>
          <w:rFonts w:hint="eastAsia"/>
          <w:sz w:val="24"/>
          <w:szCs w:val="24"/>
        </w:rPr>
        <w:t>颁发</w:t>
      </w:r>
      <w:r>
        <w:rPr>
          <w:sz w:val="24"/>
          <w:szCs w:val="24"/>
        </w:rPr>
        <w:t>证书</w:t>
      </w:r>
      <w:bookmarkEnd w:id="21"/>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认证证书是申请人的服务符合标</w:t>
      </w:r>
      <w:r>
        <w:rPr>
          <w:rFonts w:asciiTheme="minorEastAsia" w:hAnsiTheme="minorEastAsia"/>
          <w:sz w:val="24"/>
          <w:szCs w:val="24"/>
        </w:rPr>
        <w:t>准</w:t>
      </w:r>
      <w:r>
        <w:rPr>
          <w:rFonts w:hint="eastAsia" w:asciiTheme="minorEastAsia" w:hAnsiTheme="minorEastAsia"/>
          <w:sz w:val="24"/>
          <w:szCs w:val="24"/>
        </w:rPr>
        <w:t>要求并通过认证的证明性文件。</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w:t>
      </w:r>
      <w:r>
        <w:rPr>
          <w:rFonts w:asciiTheme="minorEastAsia" w:hAnsiTheme="minorEastAsia"/>
          <w:sz w:val="24"/>
          <w:szCs w:val="24"/>
        </w:rPr>
        <w:t>联合</w:t>
      </w:r>
      <w:r>
        <w:rPr>
          <w:rFonts w:hint="eastAsia" w:asciiTheme="minorEastAsia" w:hAnsiTheme="minorEastAsia"/>
          <w:sz w:val="24"/>
          <w:szCs w:val="24"/>
        </w:rPr>
        <w:t>认证中心负责制作、颁发认证证书，并发布获证公告。</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认证证书的内容一般包括：申请人名称、地址；服务的地址和业务范围；证书编号；认证依据；认证机构名称；证书签发日期及有效期的起止时间</w:t>
      </w:r>
      <w:r>
        <w:rPr>
          <w:rFonts w:asciiTheme="minorEastAsia" w:hAnsiTheme="minorEastAsia"/>
          <w:sz w:val="24"/>
          <w:szCs w:val="24"/>
        </w:rPr>
        <w:t>。</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认证证书</w:t>
      </w:r>
      <w:r>
        <w:rPr>
          <w:rFonts w:asciiTheme="minorEastAsia" w:hAnsiTheme="minorEastAsia"/>
          <w:sz w:val="24"/>
          <w:szCs w:val="24"/>
        </w:rPr>
        <w:t>依照相关规定报国家认监委注册</w:t>
      </w:r>
      <w:r>
        <w:rPr>
          <w:rFonts w:hint="eastAsia" w:asciiTheme="minorEastAsia" w:hAnsiTheme="minorEastAsia"/>
          <w:sz w:val="24"/>
          <w:szCs w:val="24"/>
        </w:rPr>
        <w:t>，根据证书编号可在国</w:t>
      </w:r>
      <w:r>
        <w:rPr>
          <w:rFonts w:asciiTheme="minorEastAsia" w:hAnsiTheme="minorEastAsia"/>
          <w:sz w:val="24"/>
          <w:szCs w:val="24"/>
        </w:rPr>
        <w:t>家认监委</w:t>
      </w:r>
      <w:r>
        <w:rPr>
          <w:rFonts w:hint="eastAsia" w:asciiTheme="minorEastAsia" w:hAnsiTheme="minorEastAsia"/>
          <w:sz w:val="24"/>
          <w:szCs w:val="24"/>
        </w:rPr>
        <w:t>官网上查询证书真伪、有效期限和证书范围等</w:t>
      </w:r>
      <w:r>
        <w:rPr>
          <w:rFonts w:asciiTheme="minorEastAsia" w:hAnsiTheme="minorEastAsia"/>
          <w:sz w:val="24"/>
          <w:szCs w:val="24"/>
        </w:rPr>
        <w:t>。</w:t>
      </w:r>
      <w:bookmarkEnd w:id="16"/>
      <w:bookmarkEnd w:id="17"/>
    </w:p>
    <w:p>
      <w:pPr>
        <w:pStyle w:val="2"/>
        <w:numPr>
          <w:ilvl w:val="0"/>
          <w:numId w:val="1"/>
        </w:numPr>
        <w:spacing w:line="360" w:lineRule="auto"/>
        <w:jc w:val="left"/>
        <w:rPr>
          <w:sz w:val="24"/>
          <w:szCs w:val="24"/>
        </w:rPr>
      </w:pPr>
      <w:bookmarkStart w:id="22" w:name="_Toc470706228"/>
      <w:bookmarkStart w:id="23" w:name="_Toc469991631"/>
      <w:bookmarkStart w:id="24" w:name="_Toc482857173"/>
      <w:bookmarkStart w:id="25" w:name="_Toc469991638"/>
      <w:r>
        <w:rPr>
          <w:rFonts w:hint="eastAsia"/>
          <w:sz w:val="24"/>
          <w:szCs w:val="24"/>
        </w:rPr>
        <w:t>认证</w:t>
      </w:r>
      <w:r>
        <w:rPr>
          <w:sz w:val="24"/>
          <w:szCs w:val="24"/>
        </w:rPr>
        <w:t>评价</w:t>
      </w:r>
      <w:bookmarkEnd w:id="22"/>
      <w:bookmarkEnd w:id="23"/>
      <w:r>
        <w:rPr>
          <w:rFonts w:hint="eastAsia"/>
          <w:sz w:val="24"/>
          <w:szCs w:val="24"/>
        </w:rPr>
        <w:t>指标</w:t>
      </w:r>
      <w:bookmarkEnd w:id="24"/>
    </w:p>
    <w:p>
      <w:pPr>
        <w:snapToGrid w:val="0"/>
        <w:spacing w:line="360" w:lineRule="auto"/>
        <w:ind w:firstLine="480" w:firstLineChars="200"/>
        <w:rPr>
          <w:sz w:val="24"/>
          <w:szCs w:val="24"/>
        </w:rPr>
      </w:pPr>
      <w:r>
        <w:rPr>
          <w:rFonts w:hint="eastAsia" w:asciiTheme="minorEastAsia" w:hAnsiTheme="minorEastAsia"/>
          <w:sz w:val="24"/>
          <w:szCs w:val="24"/>
        </w:rPr>
        <w:t>认证审查</w:t>
      </w:r>
      <w:r>
        <w:rPr>
          <w:rFonts w:asciiTheme="minorEastAsia" w:hAnsiTheme="minorEastAsia"/>
          <w:sz w:val="24"/>
          <w:szCs w:val="24"/>
        </w:rPr>
        <w:t>阶段的评价指标设定依据</w:t>
      </w:r>
      <w:r>
        <w:rPr>
          <w:rFonts w:hint="eastAsia" w:asciiTheme="minorEastAsia" w:hAnsiTheme="minorEastAsia"/>
          <w:sz w:val="24"/>
          <w:szCs w:val="24"/>
        </w:rPr>
        <w:t>T/CAMRA 002-2016《放心汽修认证评价规范》团体标准，包括六个评价维度。</w:t>
      </w:r>
    </w:p>
    <w:p>
      <w:pPr>
        <w:spacing w:line="360" w:lineRule="auto"/>
        <w:jc w:val="center"/>
        <w:rPr>
          <w:sz w:val="24"/>
          <w:szCs w:val="24"/>
        </w:rPr>
      </w:pPr>
      <w:r>
        <w:rPr>
          <w:rFonts w:hint="eastAsia"/>
          <w:sz w:val="24"/>
          <w:szCs w:val="24"/>
        </w:rPr>
        <w:drawing>
          <wp:inline distT="0" distB="0" distL="114300" distR="114300">
            <wp:extent cx="5273040" cy="2319655"/>
            <wp:effectExtent l="0" t="0" r="3810" b="4445"/>
            <wp:docPr id="10" name="图片 10" descr="评价指标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评价指标体系"/>
                    <pic:cNvPicPr>
                      <a:picLocks noChangeAspect="1"/>
                    </pic:cNvPicPr>
                  </pic:nvPicPr>
                  <pic:blipFill>
                    <a:blip r:embed="rId15"/>
                    <a:stretch>
                      <a:fillRect/>
                    </a:stretch>
                  </pic:blipFill>
                  <pic:spPr>
                    <a:xfrm>
                      <a:off x="0" y="0"/>
                      <a:ext cx="5273040" cy="2319655"/>
                    </a:xfrm>
                    <a:prstGeom prst="rect">
                      <a:avLst/>
                    </a:prstGeom>
                  </pic:spPr>
                </pic:pic>
              </a:graphicData>
            </a:graphic>
          </wp:inline>
        </w:drawing>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“诚信经营”是对企业家价值观、企业经营理念和诚信管理体制的评价，是整个评价指标体系的基础部分；</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“规范管理”和“运营能力”分别从软和硬两方面来评价企业对其所提供服务的支撑能力；</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“维修质量”和“服务水平”是从顾客体验和感知的角度对企业进行评价，其中“维修质量”是汽修企业的本功和持续健康发展的基础，“服务水平”决定了汽修企业提升客户满意度、保持竞争优势的关键要素；</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“社会责任”是对企业追求的评价，是对企业更高的要求，企业在创造利润、对股东承担责任的同时，还要承担对员工、消费者、社区和环境的责任，要在生产过程中关注人的价值。</w:t>
      </w:r>
    </w:p>
    <w:p>
      <w:pPr>
        <w:spacing w:line="360" w:lineRule="auto"/>
        <w:ind w:firstLine="482" w:firstLineChars="200"/>
        <w:rPr>
          <w:b/>
          <w:i/>
          <w:color w:val="0070C0"/>
          <w:sz w:val="24"/>
          <w:szCs w:val="24"/>
          <w:u w:val="single"/>
        </w:rPr>
      </w:pPr>
      <w:r>
        <w:rPr>
          <w:b/>
          <w:i/>
          <w:color w:val="0070C0"/>
          <w:sz w:val="24"/>
          <w:szCs w:val="24"/>
          <w:u w:val="single"/>
        </w:rPr>
        <w:drawing>
          <wp:anchor distT="0" distB="0" distL="114300" distR="114300" simplePos="0" relativeHeight="251664384" behindDoc="0" locked="0" layoutInCell="1" allowOverlap="1">
            <wp:simplePos x="0" y="0"/>
            <wp:positionH relativeFrom="column">
              <wp:posOffset>2971165</wp:posOffset>
            </wp:positionH>
            <wp:positionV relativeFrom="paragraph">
              <wp:posOffset>64770</wp:posOffset>
            </wp:positionV>
            <wp:extent cx="1466850" cy="1915795"/>
            <wp:effectExtent l="19050" t="19050" r="19050" b="2794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915650"/>
                    </a:xfrm>
                    <a:prstGeom prst="rect">
                      <a:avLst/>
                    </a:prstGeom>
                    <a:ln>
                      <a:solidFill>
                        <a:srgbClr val="00B0F0"/>
                      </a:solidFill>
                    </a:ln>
                  </pic:spPr>
                </pic:pic>
              </a:graphicData>
            </a:graphic>
          </wp:anchor>
        </w:drawing>
      </w:r>
    </w:p>
    <w:p>
      <w:pPr>
        <w:spacing w:line="360" w:lineRule="auto"/>
        <w:ind w:firstLine="482" w:firstLineChars="200"/>
        <w:rPr>
          <w:b/>
          <w:i/>
          <w:color w:val="0070C0"/>
          <w:sz w:val="24"/>
          <w:szCs w:val="24"/>
          <w:u w:val="single"/>
        </w:rPr>
      </w:pPr>
    </w:p>
    <w:p>
      <w:pPr>
        <w:spacing w:line="360" w:lineRule="auto"/>
        <w:ind w:firstLine="482" w:firstLineChars="200"/>
        <w:rPr>
          <w:b/>
          <w:i/>
          <w:color w:val="0070C0"/>
          <w:sz w:val="24"/>
          <w:szCs w:val="24"/>
          <w:u w:val="single"/>
        </w:rPr>
      </w:pPr>
      <w:r>
        <w:rPr>
          <w:rFonts w:hint="eastAsia"/>
          <w:b/>
          <w:i/>
          <w:color w:val="0070C0"/>
          <w:sz w:val="24"/>
          <w:szCs w:val="24"/>
          <w:u w:val="single"/>
        </w:rPr>
        <w:t>请参阅《放心汽修标准释义》</w:t>
      </w:r>
    </w:p>
    <w:p>
      <w:pPr>
        <w:pStyle w:val="17"/>
        <w:spacing w:line="360" w:lineRule="auto"/>
        <w:ind w:firstLine="480"/>
        <w:jc w:val="center"/>
      </w:pPr>
    </w:p>
    <w:p>
      <w:pPr>
        <w:pStyle w:val="17"/>
        <w:spacing w:line="360" w:lineRule="auto"/>
        <w:ind w:firstLine="480"/>
        <w:jc w:val="center"/>
      </w:pPr>
    </w:p>
    <w:bookmarkEnd w:id="25"/>
    <w:p>
      <w:pPr>
        <w:pStyle w:val="2"/>
        <w:numPr>
          <w:ilvl w:val="0"/>
          <w:numId w:val="1"/>
        </w:numPr>
        <w:spacing w:line="360" w:lineRule="auto"/>
        <w:jc w:val="left"/>
        <w:rPr>
          <w:sz w:val="24"/>
          <w:szCs w:val="24"/>
        </w:rPr>
      </w:pPr>
      <w:bookmarkStart w:id="26" w:name="_Toc482857174"/>
      <w:bookmarkStart w:id="27" w:name="_Toc469991643"/>
      <w:r>
        <w:rPr>
          <w:rFonts w:hint="eastAsia"/>
          <w:sz w:val="24"/>
          <w:szCs w:val="24"/>
        </w:rPr>
        <w:t>认证</w:t>
      </w:r>
      <w:r>
        <w:rPr>
          <w:sz w:val="24"/>
          <w:szCs w:val="24"/>
        </w:rPr>
        <w:t>价值</w:t>
      </w:r>
      <w:bookmarkEnd w:id="26"/>
      <w:bookmarkEnd w:id="27"/>
    </w:p>
    <w:p>
      <w:pPr>
        <w:pStyle w:val="3"/>
        <w:numPr>
          <w:ilvl w:val="1"/>
          <w:numId w:val="1"/>
        </w:numPr>
        <w:spacing w:before="0" w:after="0" w:line="360" w:lineRule="auto"/>
        <w:jc w:val="left"/>
        <w:rPr>
          <w:sz w:val="24"/>
          <w:szCs w:val="24"/>
        </w:rPr>
      </w:pPr>
      <w:bookmarkStart w:id="28" w:name="_Toc482857175"/>
      <w:bookmarkStart w:id="29" w:name="_Toc469991644"/>
      <w:r>
        <w:rPr>
          <w:sz w:val="24"/>
          <w:szCs w:val="24"/>
        </w:rPr>
        <w:t>内部价值</w:t>
      </w:r>
      <w:bookmarkEnd w:id="28"/>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 xml:space="preserve">通过放心汽修认证过程，企业建立服务蓝图，确定服务过程中的关键接触点，明确服务和管理的重点，也会发现不足和薄弱环节，有利于服务质量提升； </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通过放心汽修认证过程，企业可提炼出自身的服务特色，促使企业创新服务模式，塑造服务品牌。</w:t>
      </w:r>
    </w:p>
    <w:p>
      <w:pPr>
        <w:pStyle w:val="22"/>
        <w:snapToGrid w:val="0"/>
        <w:spacing w:line="360" w:lineRule="auto"/>
        <w:ind w:left="900" w:firstLine="0" w:firstLineChars="0"/>
        <w:rPr>
          <w:rFonts w:asciiTheme="minorEastAsia" w:hAnsiTheme="minorEastAsia"/>
          <w:sz w:val="24"/>
          <w:szCs w:val="24"/>
        </w:rPr>
      </w:pPr>
    </w:p>
    <w:p>
      <w:pPr>
        <w:pStyle w:val="3"/>
        <w:numPr>
          <w:ilvl w:val="1"/>
          <w:numId w:val="1"/>
        </w:numPr>
        <w:spacing w:before="0" w:after="0" w:line="360" w:lineRule="auto"/>
        <w:jc w:val="left"/>
        <w:rPr>
          <w:sz w:val="24"/>
          <w:szCs w:val="24"/>
        </w:rPr>
      </w:pPr>
      <w:bookmarkStart w:id="30" w:name="_Toc482857176"/>
      <w:r>
        <w:rPr>
          <w:sz w:val="24"/>
          <w:szCs w:val="24"/>
        </w:rPr>
        <w:t>外部价值</w:t>
      </w:r>
      <w:bookmarkEnd w:id="30"/>
    </w:p>
    <w:p>
      <w:pPr>
        <w:pStyle w:val="22"/>
        <w:snapToGrid w:val="0"/>
        <w:spacing w:line="360" w:lineRule="auto"/>
        <w:ind w:left="900" w:firstLine="0" w:firstLineChars="0"/>
        <w:rPr>
          <w:sz w:val="10"/>
          <w:szCs w:val="10"/>
        </w:rPr>
      </w:pPr>
    </w:p>
    <w:bookmarkEnd w:id="29"/>
    <w:p>
      <w:pPr>
        <w:pStyle w:val="3"/>
        <w:numPr>
          <w:ilvl w:val="2"/>
          <w:numId w:val="1"/>
        </w:numPr>
        <w:spacing w:before="0" w:after="0" w:line="360" w:lineRule="auto"/>
        <w:jc w:val="left"/>
        <w:rPr>
          <w:sz w:val="24"/>
          <w:szCs w:val="24"/>
        </w:rPr>
      </w:pPr>
      <w:bookmarkStart w:id="31" w:name="_Toc482857177"/>
      <w:r>
        <w:rPr>
          <w:rFonts w:hint="eastAsia"/>
          <w:sz w:val="24"/>
          <w:szCs w:val="24"/>
        </w:rPr>
        <w:t>证实能力</w:t>
      </w:r>
      <w:bookmarkEnd w:id="31"/>
    </w:p>
    <w:p>
      <w:pPr>
        <w:pStyle w:val="22"/>
        <w:snapToGrid w:val="0"/>
        <w:spacing w:line="360" w:lineRule="auto"/>
        <w:ind w:left="900" w:firstLine="0" w:firstLineChars="0"/>
        <w:rPr>
          <w:rFonts w:asciiTheme="minorEastAsia" w:hAnsiTheme="minorEastAsia"/>
          <w:sz w:val="10"/>
          <w:szCs w:val="10"/>
        </w:rPr>
      </w:pPr>
    </w:p>
    <w:p>
      <w:pPr>
        <w:pStyle w:val="22"/>
        <w:numPr>
          <w:ilvl w:val="0"/>
          <w:numId w:val="3"/>
        </w:numPr>
        <w:snapToGrid w:val="0"/>
        <w:spacing w:line="360" w:lineRule="auto"/>
        <w:ind w:firstLineChars="0"/>
        <w:rPr>
          <w:rFonts w:asciiTheme="minorEastAsia" w:hAnsiTheme="minorEastAsia"/>
          <w:b/>
          <w:sz w:val="24"/>
          <w:szCs w:val="24"/>
        </w:rPr>
      </w:pPr>
      <w:r>
        <w:rPr>
          <w:rFonts w:asciiTheme="minorEastAsia" w:hAnsiTheme="minorEastAsia"/>
          <w:b/>
          <w:sz w:val="24"/>
          <w:szCs w:val="24"/>
        </w:rPr>
        <w:t>认证证书权威验证</w:t>
      </w:r>
    </w:p>
    <w:p>
      <w:pPr>
        <w:pStyle w:val="17"/>
        <w:spacing w:line="360" w:lineRule="auto"/>
        <w:ind w:firstLine="0" w:firstLineChars="0"/>
        <w:jc w:val="center"/>
      </w:pPr>
      <w:r>
        <w:rPr>
          <w:rFonts w:hint="eastAsia"/>
        </w:rPr>
        <w:t>放心汽修服务认证证书是</w:t>
      </w:r>
      <w:r>
        <w:t>具备法律效力的证明文件。</w:t>
      </w:r>
      <w:r>
        <w:rPr>
          <w:rFonts w:hint="eastAsia"/>
        </w:rPr>
        <w:t xml:space="preserve">  </w:t>
      </w:r>
      <w:r>
        <w:rPr>
          <w:rFonts w:asciiTheme="minorEastAsia" w:hAnsiTheme="minorEastAsia"/>
        </w:rPr>
        <w:drawing>
          <wp:inline distT="0" distB="0" distL="0" distR="0">
            <wp:extent cx="4585335" cy="2743200"/>
            <wp:effectExtent l="19050" t="0" r="5403"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7"/>
                    <a:srcRect/>
                    <a:stretch>
                      <a:fillRect/>
                    </a:stretch>
                  </pic:blipFill>
                  <pic:spPr>
                    <a:xfrm>
                      <a:off x="0" y="0"/>
                      <a:ext cx="4589128" cy="2745282"/>
                    </a:xfrm>
                    <a:prstGeom prst="rect">
                      <a:avLst/>
                    </a:prstGeom>
                    <a:noFill/>
                    <a:ln w="9525">
                      <a:noFill/>
                      <a:miter lim="800000"/>
                      <a:headEnd/>
                      <a:tailEnd/>
                    </a:ln>
                  </pic:spPr>
                </pic:pic>
              </a:graphicData>
            </a:graphic>
          </wp:inline>
        </w:drawing>
      </w:r>
    </w:p>
    <w:p>
      <w:pPr>
        <w:pStyle w:val="17"/>
        <w:spacing w:line="360" w:lineRule="auto"/>
        <w:ind w:firstLine="480"/>
      </w:pPr>
      <w:r>
        <w:rPr>
          <w:rFonts w:hint="eastAsia"/>
        </w:rPr>
        <w:t>放心汽修服务认证证书的有效性可在国家认证认可监督管理委员会的官方网站（</w:t>
      </w:r>
      <w:r>
        <w:fldChar w:fldCharType="begin"/>
      </w:r>
      <w:r>
        <w:instrText xml:space="preserve"> HYPERLINK "http://www.cnca.gov.cn" </w:instrText>
      </w:r>
      <w:r>
        <w:fldChar w:fldCharType="separate"/>
      </w:r>
      <w:r>
        <w:rPr>
          <w:rFonts w:hint="eastAsia"/>
        </w:rPr>
        <w:t>www.cnca.gov.cn</w:t>
      </w:r>
      <w:r>
        <w:rPr>
          <w:rFonts w:hint="eastAsia"/>
        </w:rPr>
        <w:fldChar w:fldCharType="end"/>
      </w:r>
      <w:r>
        <w:rPr>
          <w:rFonts w:hint="eastAsia"/>
        </w:rPr>
        <w:t>）进行查询、得到验证。</w:t>
      </w:r>
      <w:r>
        <w:drawing>
          <wp:inline distT="0" distB="0" distL="114300" distR="114300">
            <wp:extent cx="5322570" cy="1911985"/>
            <wp:effectExtent l="0" t="0" r="1143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322570" cy="1911985"/>
                    </a:xfrm>
                    <a:prstGeom prst="rect">
                      <a:avLst/>
                    </a:prstGeom>
                  </pic:spPr>
                </pic:pic>
              </a:graphicData>
            </a:graphic>
          </wp:inline>
        </w:drawing>
      </w:r>
    </w:p>
    <w:p>
      <w:pPr>
        <w:pStyle w:val="22"/>
        <w:snapToGrid w:val="0"/>
        <w:spacing w:line="360" w:lineRule="auto"/>
        <w:ind w:left="900" w:firstLine="0" w:firstLineChars="0"/>
        <w:rPr>
          <w:rFonts w:asciiTheme="minorEastAsia" w:hAnsiTheme="minorEastAsia"/>
          <w:b/>
          <w:sz w:val="24"/>
          <w:szCs w:val="24"/>
        </w:rPr>
      </w:pPr>
      <w:bookmarkStart w:id="46" w:name="_GoBack"/>
      <w:bookmarkEnd w:id="46"/>
    </w:p>
    <w:p>
      <w:pPr>
        <w:pStyle w:val="22"/>
        <w:numPr>
          <w:ilvl w:val="0"/>
          <w:numId w:val="3"/>
        </w:numPr>
        <w:snapToGrid w:val="0"/>
        <w:spacing w:line="360" w:lineRule="auto"/>
        <w:ind w:firstLineChars="0"/>
        <w:rPr>
          <w:rFonts w:asciiTheme="minorEastAsia" w:hAnsiTheme="minorEastAsia"/>
          <w:b/>
          <w:sz w:val="24"/>
          <w:szCs w:val="24"/>
        </w:rPr>
      </w:pPr>
      <w:bookmarkStart w:id="32" w:name="_Toc469991645"/>
      <w:r>
        <w:rPr>
          <w:rFonts w:hint="eastAsia" w:asciiTheme="minorEastAsia" w:hAnsiTheme="minorEastAsia"/>
          <w:b/>
          <w:sz w:val="24"/>
          <w:szCs w:val="24"/>
        </w:rPr>
        <w:t>国家协会权威授牌</w:t>
      </w:r>
    </w:p>
    <w:p>
      <w:pPr>
        <w:pStyle w:val="17"/>
        <w:spacing w:line="360" w:lineRule="auto"/>
        <w:ind w:firstLine="480"/>
      </w:pPr>
      <w:r>
        <w:rPr>
          <w:rFonts w:hint="eastAsia"/>
        </w:rPr>
        <w:t>放心汽修企业铭牌</w:t>
      </w:r>
      <w:r>
        <w:t>是中</w:t>
      </w:r>
      <w:r>
        <w:rPr>
          <w:rFonts w:hint="eastAsia"/>
        </w:rPr>
        <w:t>国</w:t>
      </w:r>
      <w:r>
        <w:t>汽车维修行业协会应获证企业申请</w:t>
      </w:r>
      <w:r>
        <w:rPr>
          <w:rFonts w:hint="eastAsia"/>
        </w:rPr>
        <w:t>、采信</w:t>
      </w:r>
      <w:r>
        <w:t>放心汽修</w:t>
      </w:r>
      <w:r>
        <w:rPr>
          <w:rFonts w:hint="eastAsia"/>
        </w:rPr>
        <w:t>服务</w:t>
      </w:r>
      <w:r>
        <w:t>认证</w:t>
      </w:r>
      <w:r>
        <w:rPr>
          <w:rFonts w:hint="eastAsia"/>
        </w:rPr>
        <w:t>证书的结果而</w:t>
      </w:r>
      <w:r>
        <w:t>颁发的</w:t>
      </w:r>
      <w:r>
        <w:rPr>
          <w:rFonts w:hint="eastAsia"/>
        </w:rPr>
        <w:t>证明</w:t>
      </w:r>
      <w:r>
        <w:t>文件</w:t>
      </w:r>
      <w:r>
        <w:rPr>
          <w:rFonts w:hint="eastAsia"/>
        </w:rPr>
        <w:t>。</w:t>
      </w:r>
    </w:p>
    <w:p>
      <w:pPr>
        <w:pStyle w:val="17"/>
        <w:spacing w:line="360" w:lineRule="auto"/>
        <w:ind w:firstLine="480"/>
        <w:jc w:val="center"/>
      </w:pPr>
      <w:r>
        <w:drawing>
          <wp:inline distT="0" distB="0" distL="0" distR="0">
            <wp:extent cx="4810125" cy="1578610"/>
            <wp:effectExtent l="0" t="0" r="0" b="2540"/>
            <wp:docPr id="17" name="图片 17" descr="D:\0放心联合认证中心\市场部\图片\铭牌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0放心联合认证中心\市场部\图片\铭牌说明.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14526" cy="1580155"/>
                    </a:xfrm>
                    <a:prstGeom prst="rect">
                      <a:avLst/>
                    </a:prstGeom>
                    <a:noFill/>
                    <a:ln>
                      <a:noFill/>
                    </a:ln>
                  </pic:spPr>
                </pic:pic>
              </a:graphicData>
            </a:graphic>
          </wp:inline>
        </w:drawing>
      </w:r>
    </w:p>
    <w:p>
      <w:pPr>
        <w:pStyle w:val="17"/>
        <w:spacing w:line="360" w:lineRule="auto"/>
        <w:ind w:firstLine="480"/>
      </w:pPr>
      <w:r>
        <w:rPr>
          <w:rFonts w:hint="eastAsia"/>
        </w:rPr>
        <w:t>获牌企业将在协会的官方网站（</w:t>
      </w:r>
      <w:r>
        <w:fldChar w:fldCharType="begin"/>
      </w:r>
      <w:r>
        <w:instrText xml:space="preserve"> HYPERLINK "http://www.camra.org.cn/" </w:instrText>
      </w:r>
      <w:r>
        <w:fldChar w:fldCharType="separate"/>
      </w:r>
      <w:r>
        <w:t>www.camra.org.cn</w:t>
      </w:r>
      <w:r>
        <w:fldChar w:fldCharType="end"/>
      </w:r>
      <w:r>
        <w:rPr>
          <w:rFonts w:hint="eastAsia"/>
        </w:rPr>
        <w:t>）上公示。</w:t>
      </w:r>
    </w:p>
    <w:p>
      <w:pPr>
        <w:pStyle w:val="17"/>
        <w:spacing w:line="360" w:lineRule="auto"/>
        <w:ind w:firstLine="480"/>
      </w:pPr>
      <w:r>
        <w:drawing>
          <wp:inline distT="0" distB="0" distL="114300" distR="114300">
            <wp:extent cx="5269865" cy="2950845"/>
            <wp:effectExtent l="0" t="0" r="698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269865" cy="2950845"/>
                    </a:xfrm>
                    <a:prstGeom prst="rect">
                      <a:avLst/>
                    </a:prstGeom>
                    <a:noFill/>
                    <a:ln w="9525">
                      <a:noFill/>
                    </a:ln>
                  </pic:spPr>
                </pic:pic>
              </a:graphicData>
            </a:graphic>
          </wp:inline>
        </w:drawing>
      </w:r>
    </w:p>
    <w:p>
      <w:pPr>
        <w:pStyle w:val="3"/>
        <w:numPr>
          <w:ilvl w:val="2"/>
          <w:numId w:val="1"/>
        </w:numPr>
        <w:spacing w:before="0" w:after="0" w:line="360" w:lineRule="auto"/>
        <w:jc w:val="left"/>
        <w:rPr>
          <w:sz w:val="24"/>
          <w:szCs w:val="24"/>
        </w:rPr>
      </w:pPr>
      <w:bookmarkStart w:id="33" w:name="_Toc482857178"/>
      <w:r>
        <w:rPr>
          <w:sz w:val="24"/>
          <w:szCs w:val="24"/>
        </w:rPr>
        <w:t>传递信任</w:t>
      </w:r>
      <w:bookmarkEnd w:id="33"/>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通过认证，可获得顾客、商业合作伙伴和其他利益相关方的信任；</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认证证书和铭牌</w:t>
      </w:r>
      <w:r>
        <w:rPr>
          <w:rFonts w:hint="eastAsia" w:asciiTheme="minorEastAsia" w:hAnsiTheme="minorEastAsia"/>
          <w:sz w:val="24"/>
          <w:szCs w:val="24"/>
        </w:rPr>
        <w:t>，</w:t>
      </w:r>
      <w:r>
        <w:rPr>
          <w:rFonts w:asciiTheme="minorEastAsia" w:hAnsiTheme="minorEastAsia"/>
          <w:sz w:val="24"/>
          <w:szCs w:val="24"/>
        </w:rPr>
        <w:t>是企业自主开展营销的有力抓手</w:t>
      </w:r>
      <w:r>
        <w:rPr>
          <w:rFonts w:hint="eastAsia" w:asciiTheme="minorEastAsia" w:hAnsiTheme="minorEastAsia"/>
          <w:sz w:val="24"/>
          <w:szCs w:val="24"/>
        </w:rPr>
        <w:t>，</w:t>
      </w:r>
      <w:r>
        <w:rPr>
          <w:rFonts w:asciiTheme="minorEastAsia" w:hAnsiTheme="minorEastAsia"/>
          <w:sz w:val="24"/>
          <w:szCs w:val="24"/>
        </w:rPr>
        <w:t>是最好的活广告</w:t>
      </w:r>
      <w:r>
        <w:rPr>
          <w:rFonts w:hint="eastAsia" w:asciiTheme="minorEastAsia" w:hAnsiTheme="minorEastAsia"/>
          <w:sz w:val="24"/>
          <w:szCs w:val="24"/>
        </w:rPr>
        <w:t>；</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通过认证</w:t>
      </w:r>
      <w:r>
        <w:rPr>
          <w:rFonts w:hint="eastAsia" w:asciiTheme="minorEastAsia" w:hAnsiTheme="minorEastAsia"/>
          <w:sz w:val="24"/>
          <w:szCs w:val="24"/>
        </w:rPr>
        <w:t>，</w:t>
      </w:r>
      <w:r>
        <w:rPr>
          <w:rFonts w:asciiTheme="minorEastAsia" w:hAnsiTheme="minorEastAsia"/>
          <w:sz w:val="24"/>
          <w:szCs w:val="24"/>
        </w:rPr>
        <w:t>可显著提升企业品牌的美誉度和影响力</w:t>
      </w:r>
      <w:r>
        <w:rPr>
          <w:rFonts w:hint="eastAsia" w:asciiTheme="minorEastAsia" w:hAnsiTheme="minorEastAsia"/>
          <w:sz w:val="24"/>
          <w:szCs w:val="24"/>
        </w:rPr>
        <w:t>，</w:t>
      </w:r>
      <w:r>
        <w:rPr>
          <w:rFonts w:asciiTheme="minorEastAsia" w:hAnsiTheme="minorEastAsia"/>
          <w:sz w:val="24"/>
          <w:szCs w:val="24"/>
        </w:rPr>
        <w:t>获得市场认同</w:t>
      </w:r>
      <w:r>
        <w:rPr>
          <w:rFonts w:hint="eastAsia" w:asciiTheme="minorEastAsia" w:hAnsiTheme="minorEastAsia"/>
          <w:sz w:val="24"/>
          <w:szCs w:val="24"/>
        </w:rPr>
        <w:t>；</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获证企业可借助中国汽车维修行业协会</w:t>
      </w:r>
      <w:r>
        <w:rPr>
          <w:rFonts w:hint="eastAsia" w:asciiTheme="minorEastAsia" w:hAnsiTheme="minorEastAsia"/>
          <w:sz w:val="24"/>
          <w:szCs w:val="24"/>
        </w:rPr>
        <w:t>、</w:t>
      </w:r>
      <w:r>
        <w:rPr>
          <w:rFonts w:asciiTheme="minorEastAsia" w:hAnsiTheme="minorEastAsia"/>
          <w:sz w:val="24"/>
          <w:szCs w:val="24"/>
        </w:rPr>
        <w:t>放心联合认证中心这两个平台的联动媒体资源</w:t>
      </w:r>
      <w:r>
        <w:rPr>
          <w:rFonts w:hint="eastAsia" w:asciiTheme="minorEastAsia" w:hAnsiTheme="minorEastAsia"/>
          <w:sz w:val="24"/>
          <w:szCs w:val="24"/>
        </w:rPr>
        <w:t>，</w:t>
      </w:r>
      <w:r>
        <w:rPr>
          <w:rFonts w:asciiTheme="minorEastAsia" w:hAnsiTheme="minorEastAsia"/>
          <w:sz w:val="24"/>
          <w:szCs w:val="24"/>
        </w:rPr>
        <w:t>在汽车后市场</w:t>
      </w:r>
      <w:r>
        <w:rPr>
          <w:rFonts w:hint="eastAsia" w:asciiTheme="minorEastAsia" w:hAnsiTheme="minorEastAsia"/>
          <w:sz w:val="24"/>
          <w:szCs w:val="24"/>
        </w:rPr>
        <w:t>、社会</w:t>
      </w:r>
      <w:r>
        <w:rPr>
          <w:rFonts w:asciiTheme="minorEastAsia" w:hAnsiTheme="minorEastAsia"/>
          <w:sz w:val="24"/>
          <w:szCs w:val="24"/>
        </w:rPr>
        <w:t>信用体系建设</w:t>
      </w:r>
      <w:r>
        <w:rPr>
          <w:rFonts w:hint="eastAsia" w:asciiTheme="minorEastAsia" w:hAnsiTheme="minorEastAsia"/>
          <w:sz w:val="24"/>
          <w:szCs w:val="24"/>
        </w:rPr>
        <w:t>、</w:t>
      </w:r>
      <w:r>
        <w:rPr>
          <w:rFonts w:asciiTheme="minorEastAsia" w:hAnsiTheme="minorEastAsia"/>
          <w:sz w:val="24"/>
          <w:szCs w:val="24"/>
        </w:rPr>
        <w:t>品牌促进等专业媒体或垂直网站上公示</w:t>
      </w:r>
      <w:r>
        <w:rPr>
          <w:rFonts w:hint="eastAsia" w:asciiTheme="minorEastAsia" w:hAnsiTheme="minorEastAsia"/>
          <w:sz w:val="24"/>
          <w:szCs w:val="24"/>
        </w:rPr>
        <w:t>、</w:t>
      </w:r>
      <w:r>
        <w:rPr>
          <w:rFonts w:asciiTheme="minorEastAsia" w:hAnsiTheme="minorEastAsia"/>
          <w:sz w:val="24"/>
          <w:szCs w:val="24"/>
        </w:rPr>
        <w:t>宣传</w:t>
      </w:r>
      <w:r>
        <w:rPr>
          <w:rFonts w:hint="eastAsia" w:asciiTheme="minorEastAsia" w:hAnsiTheme="minorEastAsia"/>
          <w:sz w:val="24"/>
          <w:szCs w:val="24"/>
        </w:rPr>
        <w:t>，在地方城市、行业中参与品牌、信用有关排行榜，</w:t>
      </w:r>
      <w:r>
        <w:rPr>
          <w:rFonts w:asciiTheme="minorEastAsia" w:hAnsiTheme="minorEastAsia"/>
          <w:sz w:val="24"/>
          <w:szCs w:val="24"/>
        </w:rPr>
        <w:t>进一步扩大企业</w:t>
      </w:r>
      <w:r>
        <w:rPr>
          <w:rFonts w:hint="eastAsia" w:asciiTheme="minorEastAsia" w:hAnsiTheme="minorEastAsia"/>
          <w:sz w:val="24"/>
          <w:szCs w:val="24"/>
        </w:rPr>
        <w:t>及其</w:t>
      </w:r>
      <w:r>
        <w:rPr>
          <w:rFonts w:asciiTheme="minorEastAsia" w:hAnsiTheme="minorEastAsia"/>
          <w:sz w:val="24"/>
          <w:szCs w:val="24"/>
        </w:rPr>
        <w:t>品牌的传播效果</w:t>
      </w:r>
      <w:r>
        <w:rPr>
          <w:rFonts w:hint="eastAsia" w:asciiTheme="minorEastAsia" w:hAnsiTheme="minorEastAsia"/>
          <w:sz w:val="24"/>
          <w:szCs w:val="24"/>
        </w:rPr>
        <w:t>。</w:t>
      </w:r>
    </w:p>
    <w:p>
      <w:pPr>
        <w:pStyle w:val="22"/>
        <w:snapToGrid w:val="0"/>
        <w:spacing w:line="360" w:lineRule="auto"/>
        <w:ind w:left="900" w:firstLine="0" w:firstLineChars="0"/>
        <w:rPr>
          <w:rFonts w:asciiTheme="minorEastAsia" w:hAnsiTheme="minorEastAsia"/>
          <w:sz w:val="24"/>
          <w:szCs w:val="24"/>
        </w:rPr>
      </w:pPr>
    </w:p>
    <w:p>
      <w:pPr>
        <w:pStyle w:val="3"/>
        <w:numPr>
          <w:ilvl w:val="2"/>
          <w:numId w:val="1"/>
        </w:numPr>
        <w:spacing w:before="0" w:after="0" w:line="360" w:lineRule="auto"/>
        <w:jc w:val="left"/>
        <w:rPr>
          <w:sz w:val="24"/>
          <w:szCs w:val="24"/>
        </w:rPr>
      </w:pPr>
      <w:bookmarkStart w:id="34" w:name="_Toc482857179"/>
      <w:r>
        <w:rPr>
          <w:rFonts w:hint="eastAsia"/>
          <w:sz w:val="24"/>
          <w:szCs w:val="24"/>
        </w:rPr>
        <w:t>认可与采信</w:t>
      </w:r>
      <w:bookmarkEnd w:id="34"/>
    </w:p>
    <w:p>
      <w:pPr>
        <w:pStyle w:val="17"/>
        <w:spacing w:line="360" w:lineRule="auto"/>
        <w:ind w:firstLine="480"/>
      </w:pPr>
      <w:r>
        <w:t>放心汽修认证是权威</w:t>
      </w:r>
      <w:r>
        <w:rPr>
          <w:rFonts w:hint="eastAsia"/>
        </w:rPr>
        <w:t>、</w:t>
      </w:r>
      <w:r>
        <w:t>专业的第三方认证</w:t>
      </w:r>
      <w:r>
        <w:rPr>
          <w:rFonts w:hint="eastAsia"/>
        </w:rPr>
        <w:t>，</w:t>
      </w:r>
      <w:r>
        <w:t>放心汽修认证企业是汽车后市场的优质服务资源</w:t>
      </w:r>
      <w:r>
        <w:rPr>
          <w:rFonts w:hint="eastAsia"/>
        </w:rPr>
        <w:t>，得到了越来越多的部门认可和机构采信。</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关联业务采信</w:t>
      </w:r>
    </w:p>
    <w:p>
      <w:pPr>
        <w:pStyle w:val="22"/>
        <w:snapToGrid w:val="0"/>
        <w:spacing w:line="360" w:lineRule="auto"/>
        <w:ind w:left="900" w:firstLine="0" w:firstLineChars="0"/>
        <w:rPr>
          <w:rFonts w:asciiTheme="minorEastAsia" w:hAnsiTheme="minorEastAsia"/>
          <w:sz w:val="24"/>
          <w:szCs w:val="24"/>
        </w:rPr>
      </w:pPr>
      <w:r>
        <w:rPr>
          <w:rFonts w:ascii="宋体" w:hAnsi="宋体"/>
          <w:sz w:val="24"/>
          <w:szCs w:val="24"/>
        </w:rPr>
        <w:t>通过放心汽修认证的企业</w:t>
      </w:r>
      <w:r>
        <w:rPr>
          <w:rFonts w:hint="eastAsia" w:ascii="宋体" w:hAnsi="宋体"/>
          <w:sz w:val="24"/>
          <w:szCs w:val="24"/>
        </w:rPr>
        <w:t>，在自愿的前提下，</w:t>
      </w:r>
      <w:r>
        <w:rPr>
          <w:rFonts w:ascii="宋体" w:hAnsi="宋体"/>
          <w:sz w:val="24"/>
          <w:szCs w:val="24"/>
        </w:rPr>
        <w:t>可以极简流程和成本价格继续获得ISO 9001质量管理体系认证证书和中国人民银行认可的企业信用评级证书</w:t>
      </w:r>
      <w:r>
        <w:rPr>
          <w:rFonts w:hint="eastAsia" w:ascii="宋体" w:hAnsi="宋体"/>
          <w:sz w:val="24"/>
          <w:szCs w:val="24"/>
        </w:rPr>
        <w:t>。</w:t>
      </w:r>
    </w:p>
    <w:p>
      <w:pPr>
        <w:pStyle w:val="22"/>
        <w:numPr>
          <w:ilvl w:val="0"/>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行业管理部门采信</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交通运输部运输服务司主办</w:t>
      </w:r>
      <w:r>
        <w:rPr>
          <w:rFonts w:hint="eastAsia" w:asciiTheme="minorEastAsia" w:hAnsiTheme="minorEastAsia"/>
          <w:sz w:val="24"/>
          <w:szCs w:val="24"/>
        </w:rPr>
        <w:t>、</w:t>
      </w:r>
      <w:r>
        <w:rPr>
          <w:rFonts w:asciiTheme="minorEastAsia" w:hAnsiTheme="minorEastAsia"/>
          <w:sz w:val="24"/>
          <w:szCs w:val="24"/>
        </w:rPr>
        <w:t>中国汽车维修行业协会承办的两年一度全国汽车维修行业诚信企业表彰活动将放心汽修认证做为加分项</w:t>
      </w:r>
      <w:r>
        <w:rPr>
          <w:rFonts w:hint="eastAsia" w:asciiTheme="minorEastAsia" w:hAnsiTheme="minorEastAsia"/>
          <w:sz w:val="24"/>
          <w:szCs w:val="24"/>
        </w:rPr>
        <w:t>；</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越来越多的地方机动车维修管理部门将放心汽修认证做为年度质量信誉考核工作的加分项</w:t>
      </w:r>
      <w:r>
        <w:rPr>
          <w:rFonts w:hint="eastAsia" w:asciiTheme="minorEastAsia" w:hAnsiTheme="minorEastAsia"/>
          <w:sz w:val="24"/>
          <w:szCs w:val="24"/>
        </w:rPr>
        <w:t>；</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产业链采信</w:t>
      </w:r>
    </w:p>
    <w:p>
      <w:pPr>
        <w:pStyle w:val="22"/>
        <w:snapToGrid w:val="0"/>
        <w:spacing w:line="360" w:lineRule="auto"/>
        <w:ind w:left="900" w:firstLine="0" w:firstLineChars="0"/>
        <w:rPr>
          <w:rFonts w:asciiTheme="minorEastAsia" w:hAnsiTheme="minorEastAsia"/>
          <w:sz w:val="24"/>
          <w:szCs w:val="24"/>
        </w:rPr>
      </w:pPr>
      <w:r>
        <w:rPr>
          <w:rFonts w:asciiTheme="minorEastAsia" w:hAnsiTheme="minorEastAsia"/>
          <w:sz w:val="24"/>
          <w:szCs w:val="24"/>
        </w:rPr>
        <w:t>放心汽修认证是体现企业竞争优势的权威公示性证明</w:t>
      </w:r>
      <w:r>
        <w:rPr>
          <w:rFonts w:hint="eastAsia" w:asciiTheme="minorEastAsia" w:hAnsiTheme="minorEastAsia"/>
          <w:sz w:val="24"/>
          <w:szCs w:val="24"/>
        </w:rPr>
        <w:t>，</w:t>
      </w:r>
      <w:r>
        <w:rPr>
          <w:rFonts w:asciiTheme="minorEastAsia" w:hAnsiTheme="minorEastAsia"/>
          <w:sz w:val="24"/>
          <w:szCs w:val="24"/>
        </w:rPr>
        <w:t>得到汽修产业链各个环节的认可并采信</w:t>
      </w:r>
      <w:r>
        <w:rPr>
          <w:rFonts w:hint="eastAsia" w:asciiTheme="minorEastAsia" w:hAnsiTheme="minorEastAsia"/>
          <w:sz w:val="24"/>
          <w:szCs w:val="24"/>
        </w:rPr>
        <w:t>，</w:t>
      </w:r>
      <w:r>
        <w:rPr>
          <w:rFonts w:asciiTheme="minorEastAsia" w:hAnsiTheme="minorEastAsia"/>
          <w:sz w:val="24"/>
          <w:szCs w:val="24"/>
        </w:rPr>
        <w:t>助力企业在产业链的重大战略合作</w:t>
      </w:r>
      <w:r>
        <w:rPr>
          <w:rFonts w:hint="eastAsia" w:asciiTheme="minorEastAsia" w:hAnsiTheme="minorEastAsia"/>
          <w:sz w:val="24"/>
          <w:szCs w:val="24"/>
        </w:rPr>
        <w:t>、</w:t>
      </w:r>
      <w:r>
        <w:rPr>
          <w:rFonts w:asciiTheme="minorEastAsia" w:hAnsiTheme="minorEastAsia"/>
          <w:sz w:val="24"/>
          <w:szCs w:val="24"/>
        </w:rPr>
        <w:t>商务合同中占领先机</w:t>
      </w:r>
      <w:r>
        <w:rPr>
          <w:rFonts w:hint="eastAsia" w:asciiTheme="minorEastAsia" w:hAnsiTheme="minorEastAsia"/>
          <w:sz w:val="24"/>
          <w:szCs w:val="24"/>
        </w:rPr>
        <w:t>，</w:t>
      </w:r>
      <w:r>
        <w:rPr>
          <w:rFonts w:asciiTheme="minorEastAsia" w:hAnsiTheme="minorEastAsia"/>
          <w:sz w:val="24"/>
          <w:szCs w:val="24"/>
        </w:rPr>
        <w:t>实现目标</w:t>
      </w:r>
      <w:r>
        <w:rPr>
          <w:rFonts w:hint="eastAsia" w:asciiTheme="minorEastAsia" w:hAnsiTheme="minorEastAsia"/>
          <w:sz w:val="24"/>
          <w:szCs w:val="24"/>
        </w:rPr>
        <w:t>。</w:t>
      </w:r>
      <w:r>
        <w:rPr>
          <w:rFonts w:asciiTheme="minorEastAsia" w:hAnsiTheme="minorEastAsia"/>
          <w:sz w:val="24"/>
          <w:szCs w:val="24"/>
        </w:rPr>
        <w:t>包括</w:t>
      </w:r>
      <w:r>
        <w:rPr>
          <w:rFonts w:hint="eastAsia" w:asciiTheme="minorEastAsia" w:hAnsiTheme="minorEastAsia"/>
          <w:sz w:val="24"/>
          <w:szCs w:val="24"/>
        </w:rPr>
        <w:t>：</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汽车生产企业</w:t>
      </w:r>
      <w:r>
        <w:rPr>
          <w:rFonts w:hint="eastAsia" w:asciiTheme="minorEastAsia" w:hAnsiTheme="minorEastAsia"/>
          <w:sz w:val="24"/>
          <w:szCs w:val="24"/>
        </w:rPr>
        <w:t>（主机厂）</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保险公司</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电商平台</w:t>
      </w:r>
    </w:p>
    <w:p>
      <w:pPr>
        <w:pStyle w:val="22"/>
        <w:snapToGrid w:val="0"/>
        <w:spacing w:line="360" w:lineRule="auto"/>
        <w:ind w:left="1320" w:firstLine="0" w:firstLineChars="0"/>
        <w:rPr>
          <w:rFonts w:asciiTheme="minorEastAsia" w:hAnsiTheme="minorEastAsia"/>
          <w:sz w:val="24"/>
          <w:szCs w:val="24"/>
        </w:rPr>
      </w:pPr>
      <w:r>
        <w:rPr>
          <w:rFonts w:asciiTheme="minorEastAsia" w:hAnsiTheme="minorEastAsia"/>
          <w:sz w:val="24"/>
          <w:szCs w:val="24"/>
        </w:rPr>
        <w:t>……</w:t>
      </w:r>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供应链采信</w:t>
      </w:r>
    </w:p>
    <w:p>
      <w:pPr>
        <w:pStyle w:val="22"/>
        <w:snapToGrid w:val="0"/>
        <w:spacing w:line="360" w:lineRule="auto"/>
        <w:ind w:left="900" w:firstLine="0" w:firstLineChars="0"/>
        <w:rPr>
          <w:rFonts w:asciiTheme="minorEastAsia" w:hAnsiTheme="minorEastAsia"/>
          <w:sz w:val="24"/>
          <w:szCs w:val="24"/>
        </w:rPr>
      </w:pPr>
      <w:r>
        <w:rPr>
          <w:rFonts w:hint="eastAsia" w:asciiTheme="minorEastAsia" w:hAnsiTheme="minorEastAsia"/>
          <w:sz w:val="24"/>
          <w:szCs w:val="24"/>
        </w:rPr>
        <w:t>汽修企业的供应链体系已将通过放心汽修认证的企业作为优质客户资源，并提供差异化的优质服务和超值的价格，供企业自愿选择，包括：</w:t>
      </w:r>
    </w:p>
    <w:p>
      <w:pPr>
        <w:pStyle w:val="22"/>
        <w:numPr>
          <w:ilvl w:val="1"/>
          <w:numId w:val="3"/>
        </w:numPr>
        <w:snapToGrid w:val="0"/>
        <w:spacing w:line="360" w:lineRule="auto"/>
        <w:ind w:firstLineChars="0"/>
        <w:rPr>
          <w:rFonts w:asciiTheme="minorEastAsia" w:hAnsiTheme="minorEastAsia"/>
          <w:sz w:val="24"/>
          <w:szCs w:val="24"/>
        </w:rPr>
      </w:pPr>
      <w:r>
        <w:rPr>
          <w:rFonts w:hint="eastAsia" w:asciiTheme="minorEastAsia" w:hAnsiTheme="minorEastAsia"/>
          <w:sz w:val="24"/>
          <w:szCs w:val="24"/>
        </w:rPr>
        <w:t>管理咨询业</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技术服务业</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教育培训业</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汽保设备商</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零部件厂商</w:t>
      </w:r>
    </w:p>
    <w:p>
      <w:pPr>
        <w:pStyle w:val="22"/>
        <w:numPr>
          <w:ilvl w:val="1"/>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汽车用品厂商</w:t>
      </w:r>
    </w:p>
    <w:p>
      <w:pPr>
        <w:pStyle w:val="22"/>
        <w:snapToGrid w:val="0"/>
        <w:spacing w:line="360" w:lineRule="auto"/>
        <w:ind w:left="1320" w:firstLine="0" w:firstLineChars="0"/>
        <w:rPr>
          <w:rFonts w:asciiTheme="minorEastAsia" w:hAnsiTheme="minorEastAsia"/>
          <w:sz w:val="24"/>
          <w:szCs w:val="24"/>
        </w:rPr>
      </w:pPr>
      <w:r>
        <w:rPr>
          <w:rFonts w:asciiTheme="minorEastAsia" w:hAnsiTheme="minorEastAsia"/>
          <w:sz w:val="24"/>
          <w:szCs w:val="24"/>
        </w:rPr>
        <w:t>……</w:t>
      </w:r>
    </w:p>
    <w:p>
      <w:pPr>
        <w:pStyle w:val="22"/>
        <w:numPr>
          <w:ilvl w:val="0"/>
          <w:numId w:val="3"/>
        </w:numPr>
        <w:snapToGrid w:val="0"/>
        <w:spacing w:line="360" w:lineRule="auto"/>
        <w:ind w:firstLineChars="0"/>
      </w:pPr>
      <w:r>
        <w:rPr>
          <w:rFonts w:hint="eastAsia" w:asciiTheme="minorEastAsia" w:hAnsiTheme="minorEastAsia"/>
          <w:sz w:val="24"/>
          <w:szCs w:val="24"/>
        </w:rPr>
        <w:t>竟争</w:t>
      </w:r>
      <w:r>
        <w:rPr>
          <w:rFonts w:asciiTheme="minorEastAsia" w:hAnsiTheme="minorEastAsia"/>
          <w:sz w:val="24"/>
          <w:szCs w:val="24"/>
        </w:rPr>
        <w:t>性领域</w:t>
      </w:r>
      <w:r>
        <w:rPr>
          <w:rFonts w:hint="eastAsia" w:asciiTheme="minorEastAsia" w:hAnsiTheme="minorEastAsia"/>
          <w:sz w:val="24"/>
          <w:szCs w:val="24"/>
        </w:rPr>
        <w:t>应用</w:t>
      </w:r>
    </w:p>
    <w:p>
      <w:pPr>
        <w:pStyle w:val="17"/>
        <w:spacing w:line="360" w:lineRule="auto"/>
        <w:ind w:left="840" w:leftChars="400" w:firstLine="0" w:firstLineChars="0"/>
      </w:pPr>
      <w:r>
        <w:rPr>
          <w:rFonts w:hint="eastAsia"/>
        </w:rPr>
        <w:t>在政府采购、市场准入、招投标和</w:t>
      </w:r>
      <w:r>
        <w:t>投融资</w:t>
      </w:r>
      <w:r>
        <w:rPr>
          <w:rFonts w:hint="eastAsia"/>
        </w:rPr>
        <w:t>等</w:t>
      </w:r>
      <w:r>
        <w:t>竞争性商业活动</w:t>
      </w:r>
      <w:r>
        <w:rPr>
          <w:rFonts w:hint="eastAsia"/>
        </w:rPr>
        <w:t>中，放心</w:t>
      </w:r>
      <w:r>
        <w:t>汽修认证证书</w:t>
      </w:r>
      <w:r>
        <w:rPr>
          <w:rFonts w:hint="eastAsia"/>
        </w:rPr>
        <w:t>和中汽修协</w:t>
      </w:r>
      <w:r>
        <w:t>铭牌</w:t>
      </w:r>
      <w:r>
        <w:rPr>
          <w:rFonts w:hint="eastAsia"/>
        </w:rPr>
        <w:t>就是实现差异化、树立竞争优势的重要证明文件，助力企业占领市场，实现目标。</w:t>
      </w:r>
      <w:bookmarkEnd w:id="32"/>
    </w:p>
    <w:p>
      <w:pPr>
        <w:pStyle w:val="2"/>
        <w:numPr>
          <w:ilvl w:val="0"/>
          <w:numId w:val="1"/>
        </w:numPr>
        <w:spacing w:line="360" w:lineRule="auto"/>
        <w:rPr>
          <w:sz w:val="24"/>
          <w:szCs w:val="24"/>
        </w:rPr>
      </w:pPr>
      <w:bookmarkStart w:id="35" w:name="_Toc482857180"/>
      <w:bookmarkStart w:id="36" w:name="_Toc469991649"/>
      <w:r>
        <w:rPr>
          <w:rFonts w:hint="eastAsia"/>
          <w:sz w:val="24"/>
          <w:szCs w:val="24"/>
        </w:rPr>
        <w:t>认证实施</w:t>
      </w:r>
      <w:r>
        <w:rPr>
          <w:sz w:val="24"/>
          <w:szCs w:val="24"/>
        </w:rPr>
        <w:t>机构</w:t>
      </w:r>
      <w:bookmarkEnd w:id="35"/>
      <w:bookmarkEnd w:id="36"/>
    </w:p>
    <w:p>
      <w:pPr>
        <w:pStyle w:val="3"/>
        <w:numPr>
          <w:ilvl w:val="1"/>
          <w:numId w:val="1"/>
        </w:numPr>
        <w:spacing w:line="360" w:lineRule="auto"/>
        <w:jc w:val="left"/>
        <w:rPr>
          <w:sz w:val="24"/>
          <w:szCs w:val="24"/>
        </w:rPr>
      </w:pPr>
      <w:bookmarkStart w:id="37" w:name="_Toc469991650"/>
      <w:bookmarkStart w:id="38" w:name="_Toc482857181"/>
      <w:r>
        <w:rPr>
          <w:rFonts w:hint="eastAsia"/>
          <w:sz w:val="24"/>
          <w:szCs w:val="24"/>
        </w:rPr>
        <w:t>中</w:t>
      </w:r>
      <w:r>
        <w:rPr>
          <w:sz w:val="24"/>
          <w:szCs w:val="24"/>
        </w:rPr>
        <w:t>国汽车维修行业协会</w:t>
      </w:r>
      <w:bookmarkEnd w:id="37"/>
      <w:bookmarkEnd w:id="38"/>
    </w:p>
    <w:p>
      <w:pPr>
        <w:snapToGrid w:val="0"/>
        <w:spacing w:line="360" w:lineRule="auto"/>
        <w:ind w:firstLine="480" w:firstLineChars="200"/>
        <w:rPr>
          <w:rFonts w:asciiTheme="minorEastAsia" w:hAnsiTheme="minorEastAsia"/>
          <w:sz w:val="24"/>
          <w:szCs w:val="24"/>
        </w:rPr>
      </w:pPr>
      <w:r>
        <w:rPr>
          <w:rFonts w:asciiTheme="minorEastAsia" w:hAnsiTheme="minorEastAsia"/>
          <w:sz w:val="24"/>
          <w:szCs w:val="24"/>
        </w:rPr>
        <w:t>中国汽车维修行业协会</w:t>
      </w:r>
      <w:r>
        <w:rPr>
          <w:rFonts w:hint="eastAsia" w:asciiTheme="minorEastAsia" w:hAnsiTheme="minorEastAsia"/>
          <w:sz w:val="24"/>
          <w:szCs w:val="24"/>
        </w:rPr>
        <w:t>（</w:t>
      </w:r>
      <w:r>
        <w:rPr>
          <w:rFonts w:asciiTheme="minorEastAsia" w:hAnsiTheme="minorEastAsia"/>
          <w:sz w:val="24"/>
          <w:szCs w:val="24"/>
        </w:rPr>
        <w:t xml:space="preserve">英文名称：China Automotive Maintenance and Repair Trade Association </w:t>
      </w:r>
      <w:r>
        <w:rPr>
          <w:rFonts w:hint="eastAsia" w:asciiTheme="minorEastAsia" w:hAnsiTheme="minorEastAsia"/>
          <w:sz w:val="24"/>
          <w:szCs w:val="24"/>
        </w:rPr>
        <w:t>，</w:t>
      </w:r>
      <w:r>
        <w:rPr>
          <w:rFonts w:asciiTheme="minorEastAsia" w:hAnsiTheme="minorEastAsia"/>
          <w:sz w:val="24"/>
          <w:szCs w:val="24"/>
        </w:rPr>
        <w:t>缩写为CAMRA</w:t>
      </w:r>
      <w:r>
        <w:rPr>
          <w:rFonts w:hint="eastAsia" w:asciiTheme="minorEastAsia" w:hAnsiTheme="minorEastAsia"/>
          <w:sz w:val="24"/>
          <w:szCs w:val="24"/>
        </w:rPr>
        <w:t>）是由在中国境内从事汽车维修、检测及相关行业的企业、事业单位和团体以及个人在平等的基础上依法自愿结成的行业性、全国性、非营利性的社会组织。</w:t>
      </w:r>
    </w:p>
    <w:p>
      <w:pPr>
        <w:snapToGrid w:val="0"/>
        <w:spacing w:line="360" w:lineRule="auto"/>
        <w:ind w:firstLine="420" w:firstLineChars="200"/>
        <w:jc w:val="center"/>
        <w:rPr>
          <w:rFonts w:asciiTheme="minorEastAsia" w:hAnsiTheme="minorEastAsia"/>
          <w:sz w:val="24"/>
          <w:szCs w:val="24"/>
        </w:rPr>
      </w:pPr>
      <w:r>
        <w:drawing>
          <wp:inline distT="0" distB="0" distL="0" distR="0">
            <wp:extent cx="5117465" cy="178054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stretch>
                      <a:fillRect/>
                    </a:stretch>
                  </pic:blipFill>
                  <pic:spPr>
                    <a:xfrm>
                      <a:off x="0" y="0"/>
                      <a:ext cx="5152887" cy="1792663"/>
                    </a:xfrm>
                    <a:prstGeom prst="rect">
                      <a:avLst/>
                    </a:prstGeom>
                  </pic:spPr>
                </pic:pic>
              </a:graphicData>
            </a:graphic>
          </wp:inline>
        </w:drawing>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协会宗旨为政府和企事业单位服务，当好参谋和助手，发挥桥梁和纽带的作用；做好自律性行业管理工作，维护行业整体利益，发挥行业总体优势；深化企业改革、推动技术进步、促进汽车维修和检测行业的发展。</w:t>
      </w:r>
    </w:p>
    <w:p>
      <w:pPr>
        <w:snapToGrid w:val="0"/>
        <w:spacing w:line="360" w:lineRule="auto"/>
        <w:ind w:firstLine="480" w:firstLineChars="200"/>
        <w:rPr>
          <w:rFonts w:ascii="华文楷体" w:hAnsi="华文楷体" w:eastAsia="华文楷体"/>
          <w:szCs w:val="21"/>
        </w:rPr>
      </w:pPr>
      <w:r>
        <w:rPr>
          <w:rFonts w:asciiTheme="minorEastAsia" w:hAnsiTheme="minorEastAsia"/>
          <w:sz w:val="24"/>
          <w:szCs w:val="24"/>
        </w:rPr>
        <w:t>中国汽车维修行业协会</w:t>
      </w:r>
      <w:r>
        <w:rPr>
          <w:rFonts w:hint="eastAsia" w:asciiTheme="minorEastAsia" w:hAnsiTheme="minorEastAsia"/>
          <w:sz w:val="24"/>
          <w:szCs w:val="24"/>
        </w:rPr>
        <w:t>接受业务主管单位交通运输部和登记管理机关民政部的业务指导和监督管理。</w:t>
      </w:r>
    </w:p>
    <w:p>
      <w:pPr>
        <w:pStyle w:val="3"/>
        <w:numPr>
          <w:ilvl w:val="1"/>
          <w:numId w:val="1"/>
        </w:numPr>
        <w:spacing w:line="360" w:lineRule="auto"/>
        <w:jc w:val="left"/>
        <w:rPr>
          <w:sz w:val="24"/>
          <w:szCs w:val="24"/>
        </w:rPr>
      </w:pPr>
      <w:bookmarkStart w:id="39" w:name="_Toc469991651"/>
      <w:bookmarkStart w:id="40" w:name="_Toc482857182"/>
      <w:r>
        <w:rPr>
          <w:sz w:val="24"/>
          <w:szCs w:val="24"/>
        </w:rPr>
        <w:t>放心联合认证中心</w:t>
      </w:r>
      <w:bookmarkEnd w:id="39"/>
      <w:bookmarkEnd w:id="40"/>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联合认证中心定位于第三方认证专业机构，经国家认证认可监督管理委员会批准设立。放心联合认证中心以“诚信惠民生，优质报社会”为使命，致力于成为汽车后市场专业认证的引领者，让中国汽车服务更有信心！</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联合认证中心紧跟国家和行业的政策、法规和标准的发展，以“质量第一、体验至上、安全环保、诚信规范”为认证宗旨，秉承“公正、独立、专业、严谨”的认证方针，牢固坚持客户至上的服务理念，力争为顺应供给侧改革、助力民生服务创新、促进市场公平竞争、加快社会信用体系建设而做出自己的贡献！</w:t>
      </w:r>
    </w:p>
    <w:p>
      <w:pPr>
        <w:snapToGrid w:val="0"/>
        <w:spacing w:line="360" w:lineRule="auto"/>
        <w:ind w:firstLine="560" w:firstLineChars="200"/>
        <w:jc w:val="center"/>
        <w:rPr>
          <w:rFonts w:asciiTheme="minorEastAsia" w:hAnsiTheme="minorEastAsia"/>
          <w:sz w:val="24"/>
          <w:szCs w:val="24"/>
        </w:rPr>
      </w:pPr>
      <w:r>
        <w:rPr>
          <w:rFonts w:asciiTheme="minorEastAsia" w:hAnsiTheme="minorEastAsia"/>
          <w:sz w:val="28"/>
          <w:szCs w:val="28"/>
        </w:rPr>
        <w:drawing>
          <wp:inline distT="0" distB="0" distL="0" distR="0">
            <wp:extent cx="3188335" cy="4147820"/>
            <wp:effectExtent l="0" t="0" r="0" b="5080"/>
            <wp:docPr id="20" name="图片 20" descr="D:\0放心联合认证中心\市场部\图片\认监委批准书\认监委批准证书（新）20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0放心联合认证中心\市场部\图片\认监委批准书\认监委批准证书（新）201703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16127" cy="4184140"/>
                    </a:xfrm>
                    <a:prstGeom prst="rect">
                      <a:avLst/>
                    </a:prstGeom>
                    <a:noFill/>
                    <a:ln>
                      <a:noFill/>
                    </a:ln>
                  </pic:spPr>
                </pic:pic>
              </a:graphicData>
            </a:graphic>
          </wp:inline>
        </w:drawing>
      </w:r>
    </w:p>
    <w:p>
      <w:pPr>
        <w:pStyle w:val="22"/>
        <w:numPr>
          <w:ilvl w:val="0"/>
          <w:numId w:val="3"/>
        </w:numPr>
        <w:snapToGrid w:val="0"/>
        <w:spacing w:line="360" w:lineRule="auto"/>
        <w:ind w:firstLineChars="0"/>
        <w:rPr>
          <w:rFonts w:asciiTheme="minorEastAsia" w:hAnsiTheme="minorEastAsia"/>
          <w:sz w:val="24"/>
          <w:szCs w:val="24"/>
        </w:rPr>
      </w:pPr>
      <w:bookmarkStart w:id="41" w:name="_Toc469991652"/>
      <w:r>
        <w:rPr>
          <w:rFonts w:hint="eastAsia" w:asciiTheme="minorEastAsia" w:hAnsiTheme="minorEastAsia"/>
          <w:sz w:val="24"/>
          <w:szCs w:val="24"/>
        </w:rPr>
        <w:t>认证机构</w:t>
      </w:r>
      <w:bookmarkEnd w:id="41"/>
      <w:r>
        <w:rPr>
          <w:rFonts w:asciiTheme="minorEastAsia" w:hAnsiTheme="minorEastAsia"/>
          <w:sz w:val="24"/>
          <w:szCs w:val="24"/>
        </w:rPr>
        <w:t>资质</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w:t>
      </w:r>
      <w:r>
        <w:rPr>
          <w:rFonts w:asciiTheme="minorEastAsia" w:hAnsiTheme="minorEastAsia"/>
          <w:sz w:val="24"/>
          <w:szCs w:val="24"/>
        </w:rPr>
        <w:t>联合认证中心经国家</w:t>
      </w:r>
      <w:r>
        <w:rPr>
          <w:rFonts w:hint="eastAsia" w:asciiTheme="minorEastAsia" w:hAnsiTheme="minorEastAsia"/>
          <w:sz w:val="24"/>
          <w:szCs w:val="24"/>
        </w:rPr>
        <w:t>认证认可监督管理委员会</w:t>
      </w:r>
      <w:r>
        <w:rPr>
          <w:rFonts w:asciiTheme="minorEastAsia" w:hAnsiTheme="minorEastAsia"/>
          <w:sz w:val="24"/>
          <w:szCs w:val="24"/>
        </w:rPr>
        <w:t>批准设立。</w:t>
      </w:r>
      <w:bookmarkStart w:id="42" w:name="_Toc469991653"/>
    </w:p>
    <w:p>
      <w:pPr>
        <w:pStyle w:val="22"/>
        <w:numPr>
          <w:ilvl w:val="0"/>
          <w:numId w:val="3"/>
        </w:numPr>
        <w:snapToGrid w:val="0"/>
        <w:spacing w:line="360" w:lineRule="auto"/>
        <w:ind w:firstLineChars="0"/>
        <w:rPr>
          <w:rFonts w:asciiTheme="minorEastAsia" w:hAnsiTheme="minorEastAsia"/>
          <w:sz w:val="24"/>
          <w:szCs w:val="24"/>
        </w:rPr>
      </w:pPr>
      <w:r>
        <w:rPr>
          <w:rFonts w:asciiTheme="minorEastAsia" w:hAnsiTheme="minorEastAsia"/>
          <w:sz w:val="24"/>
          <w:szCs w:val="24"/>
        </w:rPr>
        <w:t>审查员</w:t>
      </w:r>
      <w:bookmarkEnd w:id="42"/>
      <w:r>
        <w:rPr>
          <w:rFonts w:asciiTheme="minorEastAsia" w:hAnsiTheme="minorEastAsia"/>
          <w:sz w:val="24"/>
          <w:szCs w:val="24"/>
        </w:rPr>
        <w:t>资格</w:t>
      </w:r>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w:t>
      </w:r>
      <w:r>
        <w:rPr>
          <w:rFonts w:asciiTheme="minorEastAsia" w:hAnsiTheme="minorEastAsia"/>
          <w:sz w:val="24"/>
          <w:szCs w:val="24"/>
        </w:rPr>
        <w:t>联合认证中心</w:t>
      </w:r>
      <w:r>
        <w:rPr>
          <w:rFonts w:hint="eastAsia" w:asciiTheme="minorEastAsia" w:hAnsiTheme="minorEastAsia"/>
          <w:sz w:val="24"/>
          <w:szCs w:val="24"/>
        </w:rPr>
        <w:t>拥有众多国家注册资格</w:t>
      </w:r>
      <w:r>
        <w:rPr>
          <w:rFonts w:asciiTheme="minorEastAsia" w:hAnsiTheme="minorEastAsia"/>
          <w:sz w:val="24"/>
          <w:szCs w:val="24"/>
        </w:rPr>
        <w:t>的服务认证审查员</w:t>
      </w:r>
      <w:r>
        <w:rPr>
          <w:rFonts w:hint="eastAsia" w:asciiTheme="minorEastAsia" w:hAnsiTheme="minorEastAsia"/>
          <w:sz w:val="24"/>
          <w:szCs w:val="24"/>
        </w:rPr>
        <w:t>。</w:t>
      </w:r>
    </w:p>
    <w:p>
      <w:pPr>
        <w:snapToGrid w:val="0"/>
        <w:spacing w:line="360" w:lineRule="auto"/>
        <w:ind w:firstLine="420" w:firstLineChars="200"/>
        <w:jc w:val="center"/>
        <w:rPr>
          <w:rFonts w:asciiTheme="minorEastAsia" w:hAnsiTheme="minorEastAsia"/>
          <w:sz w:val="24"/>
          <w:szCs w:val="24"/>
        </w:rPr>
      </w:pPr>
      <w:r>
        <w:drawing>
          <wp:inline distT="0" distB="0" distL="0" distR="0">
            <wp:extent cx="3317875" cy="46907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3345614" cy="4729619"/>
                    </a:xfrm>
                    <a:prstGeom prst="rect">
                      <a:avLst/>
                    </a:prstGeom>
                  </pic:spPr>
                </pic:pic>
              </a:graphicData>
            </a:graphic>
          </wp:inline>
        </w:drawing>
      </w:r>
    </w:p>
    <w:p>
      <w:pPr>
        <w:snapToGrid w:val="0"/>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3300095" cy="2337435"/>
            <wp:effectExtent l="0" t="0" r="0" b="5715"/>
            <wp:docPr id="22" name="图片 22" descr="D:\0放心联合认证中心\市场部\图片\底彦彬 CCAA审查员证2016-S1SC-121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放心联合认证中心\市场部\图片\底彦彬 CCAA审查员证2016-S1SC-12199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46127" cy="2370034"/>
                    </a:xfrm>
                    <a:prstGeom prst="rect">
                      <a:avLst/>
                    </a:prstGeom>
                    <a:noFill/>
                    <a:ln>
                      <a:noFill/>
                    </a:ln>
                  </pic:spPr>
                </pic:pic>
              </a:graphicData>
            </a:graphic>
          </wp:inline>
        </w:drawing>
      </w:r>
    </w:p>
    <w:p>
      <w:pPr>
        <w:pStyle w:val="3"/>
        <w:numPr>
          <w:ilvl w:val="1"/>
          <w:numId w:val="1"/>
        </w:numPr>
        <w:spacing w:line="360" w:lineRule="auto"/>
        <w:jc w:val="left"/>
        <w:rPr>
          <w:sz w:val="24"/>
          <w:szCs w:val="24"/>
        </w:rPr>
      </w:pPr>
      <w:bookmarkStart w:id="43" w:name="_Toc469991654"/>
      <w:bookmarkStart w:id="44" w:name="_Toc482857183"/>
      <w:r>
        <w:rPr>
          <w:sz w:val="24"/>
          <w:szCs w:val="24"/>
        </w:rPr>
        <w:t>授权合作</w:t>
      </w:r>
      <w:bookmarkEnd w:id="43"/>
      <w:bookmarkEnd w:id="44"/>
    </w:p>
    <w:p>
      <w:pPr>
        <w:snapToGrid w:val="0"/>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放心汽修”认证项目由放心联合认证中心和中国汽车维修行业协会合作推出，旨在贯彻落实“关于促进汽车维修业转型升级提升服务质量的指导意见（交运发〔2014〕186号）”的政策精神。放心汽修认证项目是整个汽修行业诚信体系建设的重要组成部分，是继汽车三包新政、同质配件、维修技术信息公开等反垄断举措后，通过第三方评价认证进而促进市场公平竞争的又一重大举措。</w:t>
      </w:r>
    </w:p>
    <w:p>
      <w:pPr>
        <w:snapToGrid w:val="0"/>
        <w:spacing w:line="360" w:lineRule="auto"/>
        <w:ind w:firstLine="480" w:firstLineChars="200"/>
        <w:jc w:val="center"/>
        <w:rPr>
          <w:rFonts w:asciiTheme="minorEastAsia" w:hAnsiTheme="minorEastAsia"/>
          <w:sz w:val="24"/>
          <w:szCs w:val="24"/>
        </w:rPr>
      </w:pPr>
      <w:r>
        <w:rPr>
          <w:rFonts w:asciiTheme="minorEastAsia" w:hAnsiTheme="minorEastAsia"/>
          <w:sz w:val="24"/>
          <w:szCs w:val="24"/>
        </w:rPr>
        <w:drawing>
          <wp:inline distT="0" distB="0" distL="0" distR="0">
            <wp:extent cx="3233420" cy="4446270"/>
            <wp:effectExtent l="0" t="0" r="5080" b="0"/>
            <wp:docPr id="23" name="图片 23" descr="D:\0放心联合认证中心\市场部\中汽修协\授权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0放心联合认证中心\市场部\中汽修协\授权函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45801" cy="4462713"/>
                    </a:xfrm>
                    <a:prstGeom prst="rect">
                      <a:avLst/>
                    </a:prstGeom>
                    <a:noFill/>
                    <a:ln>
                      <a:noFill/>
                    </a:ln>
                  </pic:spPr>
                </pic:pic>
              </a:graphicData>
            </a:graphic>
          </wp:inline>
        </w:drawing>
      </w:r>
    </w:p>
    <w:p>
      <w:pPr>
        <w:spacing w:line="276" w:lineRule="auto"/>
        <w:rPr>
          <w:rFonts w:ascii="黑体" w:hAnsi="黑体" w:eastAsia="黑体"/>
          <w:b/>
          <w:sz w:val="24"/>
          <w:szCs w:val="24"/>
        </w:rPr>
      </w:pPr>
      <w:r>
        <w:rPr>
          <w:rFonts w:ascii="黑体" w:hAnsi="黑体" w:eastAsia="黑体"/>
          <w:b/>
          <w:sz w:val="24"/>
          <w:szCs w:val="24"/>
        </w:rPr>
        <w:t>----</w:t>
      </w:r>
      <w:r>
        <w:rPr>
          <w:rFonts w:hint="eastAsia" w:ascii="黑体" w:hAnsi="黑体" w:eastAsia="黑体"/>
          <w:b/>
          <w:sz w:val="24"/>
          <w:szCs w:val="24"/>
        </w:rPr>
        <w:t>------------------------------------------------------</w:t>
      </w:r>
    </w:p>
    <w:p>
      <w:pPr>
        <w:spacing w:line="276" w:lineRule="auto"/>
        <w:rPr>
          <w:rFonts w:ascii="黑体" w:hAnsi="黑体" w:eastAsia="黑体"/>
          <w:b/>
          <w:sz w:val="24"/>
          <w:szCs w:val="24"/>
          <w:u w:val="single"/>
          <w:shd w:val="pct10" w:color="auto" w:fill="FFFFFF"/>
        </w:rPr>
      </w:pPr>
      <w:r>
        <w:rPr>
          <w:rFonts w:hint="eastAsia" w:ascii="黑体" w:hAnsi="黑体" w:eastAsia="黑体"/>
          <w:b/>
          <w:sz w:val="24"/>
          <w:szCs w:val="24"/>
          <w:u w:val="single"/>
          <w:shd w:val="pct10" w:color="auto" w:fill="FFFFFF"/>
        </w:rPr>
        <w:t>放心</w:t>
      </w:r>
      <w:r>
        <w:rPr>
          <w:rFonts w:ascii="黑体" w:hAnsi="黑体" w:eastAsia="黑体"/>
          <w:b/>
          <w:sz w:val="24"/>
          <w:szCs w:val="24"/>
          <w:u w:val="single"/>
          <w:shd w:val="pct10" w:color="auto" w:fill="FFFFFF"/>
        </w:rPr>
        <w:t>联合认证中心</w:t>
      </w:r>
    </w:p>
    <w:p>
      <w:pPr>
        <w:spacing w:line="276" w:lineRule="auto"/>
        <w:rPr>
          <w:rFonts w:ascii="黑体" w:hAnsi="黑体" w:eastAsia="黑体"/>
          <w:b/>
          <w:sz w:val="24"/>
          <w:szCs w:val="24"/>
        </w:rPr>
      </w:pPr>
      <w:r>
        <w:rPr>
          <w:rFonts w:hint="eastAsia" w:ascii="黑体" w:hAnsi="黑体" w:eastAsia="黑体"/>
          <w:b/>
          <w:sz w:val="24"/>
          <w:szCs w:val="24"/>
        </w:rPr>
        <w:t>通信</w:t>
      </w:r>
      <w:r>
        <w:rPr>
          <w:rFonts w:ascii="黑体" w:hAnsi="黑体" w:eastAsia="黑体"/>
          <w:b/>
          <w:sz w:val="24"/>
          <w:szCs w:val="24"/>
        </w:rPr>
        <w:t>地址：北京市东城区</w:t>
      </w:r>
      <w:r>
        <w:rPr>
          <w:rFonts w:hint="eastAsia" w:ascii="黑体" w:hAnsi="黑体" w:eastAsia="黑体"/>
          <w:b/>
          <w:sz w:val="24"/>
          <w:szCs w:val="24"/>
          <w:lang w:val="en-US" w:eastAsia="zh-CN"/>
        </w:rPr>
        <w:t>彭庄60号YOLO文化产业园17号楼402</w:t>
      </w:r>
    </w:p>
    <w:p>
      <w:pPr>
        <w:spacing w:line="276" w:lineRule="auto"/>
        <w:rPr>
          <w:rFonts w:ascii="黑体" w:hAnsi="黑体" w:eastAsia="黑体"/>
          <w:b/>
          <w:sz w:val="24"/>
          <w:szCs w:val="24"/>
        </w:rPr>
      </w:pPr>
      <w:r>
        <w:rPr>
          <w:rFonts w:hint="eastAsia" w:ascii="黑体" w:hAnsi="黑体" w:eastAsia="黑体"/>
          <w:b/>
          <w:sz w:val="24"/>
          <w:szCs w:val="24"/>
        </w:rPr>
        <w:t>电    话</w:t>
      </w:r>
      <w:r>
        <w:rPr>
          <w:rFonts w:ascii="黑体" w:hAnsi="黑体" w:eastAsia="黑体"/>
          <w:b/>
          <w:sz w:val="24"/>
          <w:szCs w:val="24"/>
        </w:rPr>
        <w:t>：</w:t>
      </w:r>
      <w:r>
        <w:rPr>
          <w:rFonts w:hint="eastAsia" w:ascii="黑体" w:hAnsi="黑体" w:eastAsia="黑体"/>
          <w:b/>
          <w:sz w:val="24"/>
          <w:szCs w:val="24"/>
        </w:rPr>
        <w:t>010</w:t>
      </w:r>
      <w:r>
        <w:rPr>
          <w:rFonts w:ascii="黑体" w:hAnsi="黑体" w:eastAsia="黑体"/>
          <w:b/>
          <w:sz w:val="24"/>
          <w:szCs w:val="24"/>
        </w:rPr>
        <w:t>-</w:t>
      </w:r>
      <w:r>
        <w:rPr>
          <w:rFonts w:hint="eastAsia" w:ascii="黑体" w:hAnsi="黑体" w:eastAsia="黑体"/>
          <w:b/>
          <w:sz w:val="24"/>
          <w:szCs w:val="24"/>
          <w:lang w:val="en-US" w:eastAsia="zh-CN"/>
        </w:rPr>
        <w:t>65178891</w:t>
      </w:r>
      <w:r>
        <w:rPr>
          <w:rFonts w:ascii="黑体" w:hAnsi="黑体" w:eastAsia="黑体"/>
          <w:b/>
          <w:sz w:val="24"/>
          <w:szCs w:val="24"/>
        </w:rPr>
        <w:t xml:space="preserve"> </w:t>
      </w:r>
      <w:r>
        <w:rPr>
          <w:rFonts w:hint="eastAsia" w:ascii="黑体" w:hAnsi="黑体" w:eastAsia="黑体"/>
          <w:b/>
          <w:sz w:val="24"/>
          <w:szCs w:val="24"/>
          <w:lang w:val="en-US" w:eastAsia="zh-CN"/>
        </w:rPr>
        <w:t>13810100426</w:t>
      </w:r>
    </w:p>
    <w:p>
      <w:pPr>
        <w:spacing w:line="276" w:lineRule="auto"/>
        <w:rPr>
          <w:rFonts w:ascii="黑体" w:hAnsi="黑体" w:eastAsia="黑体"/>
          <w:b/>
          <w:sz w:val="24"/>
          <w:szCs w:val="24"/>
        </w:rPr>
      </w:pPr>
      <w:r>
        <w:rPr>
          <w:rFonts w:hint="eastAsia" w:ascii="黑体" w:hAnsi="黑体" w:eastAsia="黑体"/>
          <w:b/>
          <w:sz w:val="24"/>
          <w:szCs w:val="24"/>
        </w:rPr>
        <w:t>传    真</w:t>
      </w:r>
      <w:r>
        <w:rPr>
          <w:rFonts w:ascii="黑体" w:hAnsi="黑体" w:eastAsia="黑体"/>
          <w:b/>
          <w:sz w:val="24"/>
          <w:szCs w:val="24"/>
        </w:rPr>
        <w:t>：</w:t>
      </w:r>
      <w:r>
        <w:rPr>
          <w:rFonts w:hint="eastAsia" w:ascii="黑体" w:hAnsi="黑体" w:eastAsia="黑体"/>
          <w:b/>
          <w:sz w:val="24"/>
          <w:szCs w:val="24"/>
        </w:rPr>
        <w:t>010</w:t>
      </w:r>
      <w:r>
        <w:rPr>
          <w:rFonts w:ascii="黑体" w:hAnsi="黑体" w:eastAsia="黑体"/>
          <w:b/>
          <w:sz w:val="24"/>
          <w:szCs w:val="24"/>
        </w:rPr>
        <w:t>-65178891</w:t>
      </w:r>
    </w:p>
    <w:p>
      <w:pPr>
        <w:spacing w:line="276" w:lineRule="auto"/>
        <w:rPr>
          <w:rFonts w:ascii="黑体" w:hAnsi="黑体" w:eastAsia="黑体"/>
          <w:b/>
          <w:sz w:val="24"/>
          <w:szCs w:val="24"/>
        </w:rPr>
      </w:pPr>
      <w:r>
        <w:rPr>
          <w:rFonts w:hint="eastAsia" w:ascii="黑体" w:hAnsi="黑体" w:eastAsia="黑体"/>
          <w:b/>
          <w:sz w:val="24"/>
          <w:szCs w:val="24"/>
        </w:rPr>
        <w:t>认证</w:t>
      </w:r>
      <w:r>
        <w:rPr>
          <w:rFonts w:ascii="黑体" w:hAnsi="黑体" w:eastAsia="黑体"/>
          <w:b/>
          <w:sz w:val="24"/>
          <w:szCs w:val="24"/>
        </w:rPr>
        <w:t>中心</w:t>
      </w:r>
      <w:r>
        <w:rPr>
          <w:rFonts w:hint="eastAsia" w:ascii="黑体" w:hAnsi="黑体" w:eastAsia="黑体"/>
          <w:b/>
          <w:sz w:val="24"/>
          <w:szCs w:val="24"/>
        </w:rPr>
        <w:t>官网</w:t>
      </w:r>
      <w:r>
        <w:rPr>
          <w:rFonts w:ascii="黑体" w:hAnsi="黑体" w:eastAsia="黑体"/>
          <w:b/>
          <w:sz w:val="24"/>
          <w:szCs w:val="24"/>
        </w:rPr>
        <w:t>：</w:t>
      </w:r>
      <w:r>
        <w:fldChar w:fldCharType="begin"/>
      </w:r>
      <w:r>
        <w:instrText xml:space="preserve"> HYPERLINK "http://www.fangxin8.net" </w:instrText>
      </w:r>
      <w:r>
        <w:fldChar w:fldCharType="separate"/>
      </w:r>
      <w:r>
        <w:rPr>
          <w:rStyle w:val="12"/>
          <w:rFonts w:hint="eastAsia" w:ascii="黑体" w:hAnsi="黑体" w:eastAsia="黑体"/>
          <w:b/>
          <w:sz w:val="24"/>
          <w:szCs w:val="24"/>
        </w:rPr>
        <w:t>www.fangxin8.net</w:t>
      </w:r>
      <w:r>
        <w:rPr>
          <w:rStyle w:val="12"/>
          <w:rFonts w:hint="eastAsia" w:ascii="黑体" w:hAnsi="黑体" w:eastAsia="黑体"/>
          <w:b/>
          <w:sz w:val="24"/>
          <w:szCs w:val="24"/>
        </w:rPr>
        <w:fldChar w:fldCharType="end"/>
      </w:r>
    </w:p>
    <w:p>
      <w:pPr>
        <w:spacing w:line="276" w:lineRule="auto"/>
        <w:rPr>
          <w:rFonts w:ascii="黑体" w:hAnsi="黑体" w:eastAsia="黑体"/>
          <w:b/>
          <w:sz w:val="24"/>
          <w:szCs w:val="24"/>
        </w:rPr>
      </w:pPr>
      <w:r>
        <w:rPr>
          <w:rFonts w:hint="eastAsia" w:ascii="黑体" w:hAnsi="黑体" w:eastAsia="黑体"/>
          <w:b/>
          <w:sz w:val="24"/>
          <w:szCs w:val="24"/>
        </w:rPr>
        <w:t>微信</w:t>
      </w:r>
      <w:r>
        <w:rPr>
          <w:rFonts w:ascii="黑体" w:hAnsi="黑体" w:eastAsia="黑体"/>
          <w:b/>
          <w:sz w:val="24"/>
          <w:szCs w:val="24"/>
        </w:rPr>
        <w:t>公众号</w:t>
      </w:r>
      <w:r>
        <w:rPr>
          <w:rFonts w:hint="eastAsia" w:ascii="黑体" w:hAnsi="黑体" w:eastAsia="黑体"/>
          <w:b/>
          <w:sz w:val="24"/>
          <w:szCs w:val="24"/>
        </w:rPr>
        <w:t>（搜索</w:t>
      </w:r>
      <w:r>
        <w:rPr>
          <w:rFonts w:ascii="黑体" w:hAnsi="黑体" w:eastAsia="黑体"/>
          <w:b/>
          <w:sz w:val="24"/>
          <w:szCs w:val="24"/>
        </w:rPr>
        <w:t>关键字）</w:t>
      </w:r>
      <w:r>
        <w:rPr>
          <w:rFonts w:hint="eastAsia" w:ascii="黑体" w:hAnsi="黑体" w:eastAsia="黑体"/>
          <w:b/>
          <w:sz w:val="24"/>
          <w:szCs w:val="24"/>
        </w:rPr>
        <w:t>：</w:t>
      </w:r>
      <w:r>
        <w:rPr>
          <w:rFonts w:ascii="黑体" w:hAnsi="黑体" w:eastAsia="黑体"/>
          <w:b/>
          <w:sz w:val="24"/>
          <w:szCs w:val="24"/>
        </w:rPr>
        <w:t>放心</w:t>
      </w:r>
      <w:r>
        <w:rPr>
          <w:rFonts w:hint="eastAsia" w:ascii="黑体" w:hAnsi="黑体" w:eastAsia="黑体"/>
          <w:b/>
          <w:sz w:val="24"/>
          <w:szCs w:val="24"/>
        </w:rPr>
        <w:t>联合</w:t>
      </w:r>
      <w:r>
        <w:rPr>
          <w:rFonts w:ascii="黑体" w:hAnsi="黑体" w:eastAsia="黑体"/>
          <w:b/>
          <w:sz w:val="24"/>
          <w:szCs w:val="24"/>
        </w:rPr>
        <w:t>认证中心</w:t>
      </w:r>
    </w:p>
    <w:p>
      <w:pPr>
        <w:spacing w:line="276" w:lineRule="auto"/>
        <w:rPr>
          <w:rFonts w:ascii="黑体" w:hAnsi="黑体" w:eastAsia="黑体"/>
          <w:b/>
          <w:sz w:val="24"/>
          <w:szCs w:val="24"/>
        </w:rPr>
      </w:pPr>
      <w:r>
        <w:rPr>
          <w:rFonts w:hint="eastAsia" w:ascii="黑体" w:hAnsi="黑体" w:eastAsia="黑体"/>
          <w:b/>
          <w:sz w:val="24"/>
          <w:szCs w:val="24"/>
        </w:rPr>
        <w:t>-</w:t>
      </w:r>
      <w:r>
        <w:rPr>
          <w:rFonts w:ascii="黑体" w:hAnsi="黑体" w:eastAsia="黑体"/>
          <w:b/>
          <w:sz w:val="24"/>
          <w:szCs w:val="24"/>
        </w:rPr>
        <w:t>---------------------------------------------------------</w:t>
      </w:r>
    </w:p>
    <w:p>
      <w:pPr>
        <w:jc w:val="left"/>
      </w:pPr>
      <w:r>
        <w:br w:type="page"/>
      </w:r>
    </w:p>
    <w:p>
      <w:pPr>
        <w:pStyle w:val="2"/>
        <w:spacing w:line="360" w:lineRule="auto"/>
        <w:rPr>
          <w:sz w:val="24"/>
          <w:szCs w:val="24"/>
        </w:rPr>
      </w:pPr>
      <w:bookmarkStart w:id="45" w:name="_Toc482857184"/>
      <w:r>
        <w:rPr>
          <w:rFonts w:hint="eastAsia"/>
          <w:sz w:val="24"/>
          <w:szCs w:val="24"/>
        </w:rPr>
        <w:t>附件一</w:t>
      </w:r>
      <w:r>
        <w:rPr>
          <w:sz w:val="24"/>
          <w:szCs w:val="24"/>
        </w:rPr>
        <w:t>：</w:t>
      </w:r>
      <w:r>
        <w:rPr>
          <w:rFonts w:hint="eastAsia"/>
          <w:sz w:val="24"/>
          <w:szCs w:val="24"/>
        </w:rPr>
        <w:t>认证价目</w:t>
      </w:r>
      <w:r>
        <w:rPr>
          <w:sz w:val="24"/>
          <w:szCs w:val="24"/>
        </w:rPr>
        <w:t>表</w:t>
      </w:r>
      <w:bookmarkEnd w:id="45"/>
    </w:p>
    <w:p>
      <w:pPr>
        <w:spacing w:line="360" w:lineRule="auto"/>
        <w:jc w:val="center"/>
        <w:rPr>
          <w:rFonts w:ascii="微软雅黑" w:hAnsi="微软雅黑" w:eastAsia="微软雅黑"/>
          <w:kern w:val="0"/>
          <w:sz w:val="28"/>
          <w:szCs w:val="28"/>
        </w:rPr>
      </w:pPr>
      <w:r>
        <w:rPr>
          <w:rFonts w:hint="eastAsia" w:ascii="微软雅黑" w:hAnsi="微软雅黑" w:eastAsia="微软雅黑"/>
          <w:kern w:val="0"/>
          <w:sz w:val="28"/>
          <w:szCs w:val="28"/>
        </w:rPr>
        <w:t>放心汽修认证价目表</w:t>
      </w:r>
    </w:p>
    <w:tbl>
      <w:tblPr>
        <w:tblStyle w:val="13"/>
        <w:tblW w:w="7797" w:type="dxa"/>
        <w:tblInd w:w="-10" w:type="dxa"/>
        <w:tblLayout w:type="fixed"/>
        <w:tblCellMar>
          <w:top w:w="0" w:type="dxa"/>
          <w:left w:w="108" w:type="dxa"/>
          <w:bottom w:w="0" w:type="dxa"/>
          <w:right w:w="108" w:type="dxa"/>
        </w:tblCellMar>
      </w:tblPr>
      <w:tblGrid>
        <w:gridCol w:w="3686"/>
        <w:gridCol w:w="2126"/>
        <w:gridCol w:w="1985"/>
      </w:tblGrid>
      <w:tr>
        <w:tblPrEx>
          <w:tblLayout w:type="fixed"/>
          <w:tblCellMar>
            <w:top w:w="0" w:type="dxa"/>
            <w:left w:w="108" w:type="dxa"/>
            <w:bottom w:w="0" w:type="dxa"/>
            <w:right w:w="108" w:type="dxa"/>
          </w:tblCellMar>
        </w:tblPrEx>
        <w:trPr>
          <w:trHeight w:val="638" w:hRule="atLeast"/>
        </w:trPr>
        <w:tc>
          <w:tcPr>
            <w:tcW w:w="368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认证项目类别</w:t>
            </w:r>
          </w:p>
        </w:tc>
        <w:tc>
          <w:tcPr>
            <w:tcW w:w="4111" w:type="dxa"/>
            <w:gridSpan w:val="2"/>
            <w:tcBorders>
              <w:top w:val="single" w:color="auto" w:sz="8"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服务认证费（元）</w:t>
            </w:r>
          </w:p>
        </w:tc>
      </w:tr>
      <w:tr>
        <w:tblPrEx>
          <w:tblLayout w:type="fixed"/>
          <w:tblCellMar>
            <w:top w:w="0" w:type="dxa"/>
            <w:left w:w="108" w:type="dxa"/>
            <w:bottom w:w="0" w:type="dxa"/>
            <w:right w:w="108" w:type="dxa"/>
          </w:tblCellMar>
        </w:tblPrEx>
        <w:trPr>
          <w:trHeight w:val="285" w:hRule="atLeast"/>
        </w:trPr>
        <w:tc>
          <w:tcPr>
            <w:tcW w:w="3686"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宋体" w:hAnsi="宋体" w:cs="宋体"/>
                <w:b/>
                <w:bCs/>
                <w:color w:val="000000"/>
                <w:kern w:val="0"/>
                <w:sz w:val="22"/>
              </w:rPr>
            </w:pPr>
          </w:p>
        </w:tc>
        <w:tc>
          <w:tcPr>
            <w:tcW w:w="2126"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首次认证基准费</w:t>
            </w:r>
          </w:p>
        </w:tc>
        <w:tc>
          <w:tcPr>
            <w:tcW w:w="1985"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年监督审核费</w:t>
            </w:r>
            <w:r>
              <w:rPr>
                <w:rFonts w:hint="eastAsia" w:ascii="宋体" w:hAnsi="宋体" w:cs="宋体"/>
                <w:b/>
                <w:bCs/>
                <w:color w:val="000000"/>
                <w:kern w:val="0"/>
                <w:sz w:val="22"/>
              </w:rPr>
              <w:br w:type="textWrapping"/>
            </w:r>
            <w:r>
              <w:rPr>
                <w:rFonts w:hint="eastAsia" w:ascii="宋体" w:hAnsi="宋体" w:cs="宋体"/>
                <w:color w:val="000000"/>
                <w:kern w:val="0"/>
                <w:sz w:val="22"/>
              </w:rPr>
              <w:t>（认证费*X%/年）</w:t>
            </w:r>
          </w:p>
        </w:tc>
      </w:tr>
      <w:tr>
        <w:tblPrEx>
          <w:tblLayout w:type="fixed"/>
          <w:tblCellMar>
            <w:top w:w="0" w:type="dxa"/>
            <w:left w:w="108" w:type="dxa"/>
            <w:bottom w:w="0" w:type="dxa"/>
            <w:right w:w="108" w:type="dxa"/>
          </w:tblCellMar>
        </w:tblPrEx>
        <w:trPr>
          <w:trHeight w:val="645" w:hRule="atLeast"/>
        </w:trPr>
        <w:tc>
          <w:tcPr>
            <w:tcW w:w="3686" w:type="dxa"/>
            <w:tcBorders>
              <w:top w:val="nil"/>
              <w:left w:val="single" w:color="auto" w:sz="8" w:space="0"/>
              <w:bottom w:val="single" w:color="auto" w:sz="4" w:space="0"/>
              <w:right w:val="single" w:color="auto" w:sz="8" w:space="0"/>
            </w:tcBorders>
            <w:shd w:val="clear" w:color="auto" w:fill="auto"/>
            <w:vAlign w:val="center"/>
          </w:tcPr>
          <w:p>
            <w:pPr>
              <w:widowControl/>
              <w:jc w:val="left"/>
              <w:rPr>
                <w:rFonts w:ascii="宋体" w:hAnsi="宋体" w:cs="宋体"/>
                <w:b/>
                <w:bCs/>
                <w:color w:val="000000"/>
                <w:kern w:val="0"/>
                <w:sz w:val="22"/>
              </w:rPr>
            </w:pPr>
            <w:r>
              <w:rPr>
                <w:rFonts w:hint="eastAsia" w:ascii="宋体" w:hAnsi="宋体" w:cs="宋体"/>
                <w:b/>
                <w:bCs/>
                <w:color w:val="000000"/>
                <w:kern w:val="0"/>
                <w:sz w:val="22"/>
              </w:rPr>
              <w:t>大中型客车（一类）</w:t>
            </w:r>
            <w:r>
              <w:rPr>
                <w:rFonts w:hint="eastAsia" w:ascii="宋体" w:hAnsi="宋体" w:cs="宋体"/>
                <w:b/>
                <w:bCs/>
                <w:color w:val="000000"/>
                <w:kern w:val="0"/>
                <w:sz w:val="22"/>
              </w:rPr>
              <w:br w:type="textWrapping"/>
            </w:r>
            <w:r>
              <w:rPr>
                <w:rFonts w:hint="eastAsia" w:ascii="宋体" w:hAnsi="宋体" w:cs="宋体"/>
                <w:b/>
                <w:bCs/>
                <w:color w:val="000000"/>
                <w:kern w:val="0"/>
                <w:sz w:val="22"/>
              </w:rPr>
              <w:t>大型货车（一类）</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¥18,000.00</w:t>
            </w:r>
          </w:p>
        </w:tc>
        <w:tc>
          <w:tcPr>
            <w:tcW w:w="198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30%</w:t>
            </w:r>
          </w:p>
        </w:tc>
      </w:tr>
      <w:tr>
        <w:tblPrEx>
          <w:tblLayout w:type="fixed"/>
          <w:tblCellMar>
            <w:top w:w="0" w:type="dxa"/>
            <w:left w:w="108" w:type="dxa"/>
            <w:bottom w:w="0" w:type="dxa"/>
            <w:right w:w="108" w:type="dxa"/>
          </w:tblCellMar>
        </w:tblPrEx>
        <w:trPr>
          <w:trHeight w:val="1050" w:hRule="atLeast"/>
        </w:trPr>
        <w:tc>
          <w:tcPr>
            <w:tcW w:w="3686" w:type="dxa"/>
            <w:tcBorders>
              <w:top w:val="nil"/>
              <w:left w:val="single" w:color="auto" w:sz="8" w:space="0"/>
              <w:bottom w:val="single" w:color="auto" w:sz="4" w:space="0"/>
              <w:right w:val="single" w:color="auto" w:sz="8" w:space="0"/>
            </w:tcBorders>
            <w:shd w:val="clear" w:color="auto" w:fill="auto"/>
            <w:vAlign w:val="center"/>
          </w:tcPr>
          <w:p>
            <w:pPr>
              <w:widowControl/>
              <w:jc w:val="left"/>
              <w:rPr>
                <w:rFonts w:ascii="宋体" w:hAnsi="宋体" w:cs="宋体"/>
                <w:b/>
                <w:bCs/>
                <w:color w:val="000000"/>
                <w:kern w:val="0"/>
                <w:sz w:val="22"/>
              </w:rPr>
            </w:pPr>
            <w:r>
              <w:rPr>
                <w:rFonts w:hint="eastAsia" w:ascii="宋体" w:hAnsi="宋体" w:cs="宋体"/>
                <w:b/>
                <w:bCs/>
                <w:color w:val="000000"/>
                <w:kern w:val="0"/>
                <w:sz w:val="22"/>
              </w:rPr>
              <w:t>小型汽车（一类）</w:t>
            </w:r>
            <w:r>
              <w:rPr>
                <w:rFonts w:hint="eastAsia" w:ascii="宋体" w:hAnsi="宋体" w:cs="宋体"/>
                <w:b/>
                <w:bCs/>
                <w:color w:val="000000"/>
                <w:kern w:val="0"/>
                <w:sz w:val="22"/>
              </w:rPr>
              <w:br w:type="textWrapping"/>
            </w:r>
            <w:r>
              <w:rPr>
                <w:rFonts w:hint="eastAsia" w:ascii="宋体" w:hAnsi="宋体" w:cs="宋体"/>
                <w:b/>
                <w:bCs/>
                <w:color w:val="000000"/>
                <w:kern w:val="0"/>
                <w:sz w:val="22"/>
              </w:rPr>
              <w:t>大中型客车（二类）</w:t>
            </w:r>
            <w:r>
              <w:rPr>
                <w:rFonts w:hint="eastAsia" w:ascii="宋体" w:hAnsi="宋体" w:cs="宋体"/>
                <w:b/>
                <w:bCs/>
                <w:color w:val="000000"/>
                <w:kern w:val="0"/>
                <w:sz w:val="22"/>
              </w:rPr>
              <w:br w:type="textWrapping"/>
            </w:r>
            <w:r>
              <w:rPr>
                <w:rFonts w:hint="eastAsia" w:ascii="宋体" w:hAnsi="宋体" w:cs="宋体"/>
                <w:b/>
                <w:bCs/>
                <w:color w:val="000000"/>
                <w:kern w:val="0"/>
                <w:sz w:val="22"/>
              </w:rPr>
              <w:t>大型货车（二类）</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¥15,000.00</w:t>
            </w:r>
          </w:p>
        </w:tc>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510" w:hRule="atLeast"/>
        </w:trPr>
        <w:tc>
          <w:tcPr>
            <w:tcW w:w="3686" w:type="dxa"/>
            <w:tcBorders>
              <w:top w:val="nil"/>
              <w:left w:val="single" w:color="auto" w:sz="8" w:space="0"/>
              <w:bottom w:val="single" w:color="auto" w:sz="4" w:space="0"/>
              <w:right w:val="single" w:color="auto" w:sz="8" w:space="0"/>
            </w:tcBorders>
            <w:shd w:val="clear" w:color="auto" w:fill="auto"/>
            <w:vAlign w:val="center"/>
          </w:tcPr>
          <w:p>
            <w:pPr>
              <w:widowControl/>
              <w:jc w:val="left"/>
              <w:rPr>
                <w:rFonts w:ascii="宋体" w:hAnsi="宋体" w:cs="宋体"/>
                <w:b/>
                <w:bCs/>
                <w:color w:val="000000"/>
                <w:kern w:val="0"/>
                <w:sz w:val="22"/>
              </w:rPr>
            </w:pPr>
            <w:r>
              <w:rPr>
                <w:rFonts w:hint="eastAsia" w:ascii="宋体" w:hAnsi="宋体" w:cs="宋体"/>
                <w:b/>
                <w:bCs/>
                <w:color w:val="000000"/>
                <w:kern w:val="0"/>
                <w:sz w:val="22"/>
              </w:rPr>
              <w:t>小型汽车（二类）</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¥12,000.00</w:t>
            </w:r>
          </w:p>
        </w:tc>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1065" w:hRule="atLeast"/>
        </w:trPr>
        <w:tc>
          <w:tcPr>
            <w:tcW w:w="3686" w:type="dxa"/>
            <w:tcBorders>
              <w:top w:val="nil"/>
              <w:left w:val="single" w:color="auto" w:sz="8" w:space="0"/>
              <w:bottom w:val="single" w:color="auto" w:sz="4" w:space="0"/>
              <w:right w:val="single" w:color="auto" w:sz="8"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b/>
                <w:bCs/>
                <w:color w:val="000000"/>
                <w:kern w:val="0"/>
                <w:sz w:val="22"/>
              </w:rPr>
              <w:t>汽车（三类）：</w:t>
            </w:r>
            <w:r>
              <w:rPr>
                <w:rFonts w:hint="eastAsia" w:ascii="宋体" w:hAnsi="宋体" w:cs="宋体"/>
                <w:color w:val="000000"/>
                <w:kern w:val="0"/>
                <w:sz w:val="22"/>
              </w:rPr>
              <w:br w:type="textWrapping"/>
            </w:r>
            <w:r>
              <w:rPr>
                <w:rFonts w:hint="eastAsia" w:ascii="宋体" w:hAnsi="宋体" w:cs="宋体"/>
                <w:color w:val="000000"/>
                <w:kern w:val="0"/>
                <w:sz w:val="22"/>
              </w:rPr>
              <w:t>综合小修、发动机维修、车身维修（包含涂漆）、自动变速器维修</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¥9,000.00</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40%</w:t>
            </w:r>
          </w:p>
        </w:tc>
      </w:tr>
      <w:tr>
        <w:tblPrEx>
          <w:tblLayout w:type="fixed"/>
          <w:tblCellMar>
            <w:top w:w="0" w:type="dxa"/>
            <w:left w:w="108" w:type="dxa"/>
            <w:bottom w:w="0" w:type="dxa"/>
            <w:right w:w="108" w:type="dxa"/>
          </w:tblCellMar>
        </w:tblPrEx>
        <w:trPr>
          <w:trHeight w:val="1573" w:hRule="atLeast"/>
        </w:trPr>
        <w:tc>
          <w:tcPr>
            <w:tcW w:w="3686" w:type="dxa"/>
            <w:tcBorders>
              <w:top w:val="nil"/>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b/>
                <w:bCs/>
                <w:color w:val="000000"/>
                <w:kern w:val="0"/>
                <w:sz w:val="22"/>
              </w:rPr>
              <w:t>汽车（三类）：</w:t>
            </w:r>
            <w:r>
              <w:rPr>
                <w:rFonts w:hint="eastAsia" w:ascii="宋体" w:hAnsi="宋体" w:cs="宋体"/>
                <w:color w:val="000000"/>
                <w:kern w:val="0"/>
                <w:sz w:val="22"/>
              </w:rPr>
              <w:br w:type="textWrapping"/>
            </w:r>
            <w:r>
              <w:rPr>
                <w:rFonts w:hint="eastAsia" w:ascii="宋体" w:hAnsi="宋体" w:cs="宋体"/>
                <w:color w:val="000000"/>
                <w:kern w:val="0"/>
                <w:sz w:val="22"/>
              </w:rPr>
              <w:t>电气系统维修、轮胎动平衡及修补、四轮定位检测调整、汽车润滑与养护（供油系统维护和油品更换）、喷油泵和喷油器维修、曲轴修磨、气缸镗磨、散热器(水箱)维修、空调维修、汽车美容装潢（包含车身清洁维护）、汽车玻璃安装及修复</w:t>
            </w:r>
          </w:p>
        </w:tc>
        <w:tc>
          <w:tcPr>
            <w:tcW w:w="2126"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¥6,000.00</w:t>
            </w:r>
          </w:p>
        </w:tc>
        <w:tc>
          <w:tcPr>
            <w:tcW w:w="1985"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cs="宋体"/>
                <w:b/>
                <w:bCs/>
                <w:kern w:val="0"/>
                <w:sz w:val="24"/>
              </w:rPr>
            </w:pPr>
            <w:r>
              <w:rPr>
                <w:rFonts w:hint="eastAsia" w:ascii="宋体" w:hAnsi="宋体" w:cs="宋体"/>
                <w:b/>
                <w:bCs/>
                <w:kern w:val="0"/>
                <w:sz w:val="24"/>
              </w:rPr>
              <w:t>50%</w:t>
            </w:r>
          </w:p>
        </w:tc>
      </w:tr>
    </w:tbl>
    <w:p>
      <w:pPr>
        <w:spacing w:line="360" w:lineRule="auto"/>
        <w:rPr>
          <w:rFonts w:ascii="微软雅黑" w:hAnsi="微软雅黑" w:eastAsia="微软雅黑"/>
          <w:kern w:val="0"/>
          <w:szCs w:val="21"/>
        </w:rPr>
      </w:pPr>
    </w:p>
    <w:p>
      <w:pPr>
        <w:spacing w:line="360" w:lineRule="auto"/>
        <w:rPr>
          <w:rFonts w:ascii="微软雅黑" w:hAnsi="微软雅黑" w:eastAsia="微软雅黑"/>
          <w:kern w:val="0"/>
          <w:szCs w:val="21"/>
        </w:rPr>
      </w:pPr>
      <w:r>
        <w:rPr>
          <w:rFonts w:hint="eastAsia" w:ascii="微软雅黑" w:hAnsi="微软雅黑" w:eastAsia="微软雅黑"/>
          <w:kern w:val="0"/>
          <w:szCs w:val="21"/>
        </w:rPr>
        <w:t>说明</w:t>
      </w:r>
      <w:r>
        <w:rPr>
          <w:rFonts w:ascii="微软雅黑" w:hAnsi="微软雅黑" w:eastAsia="微软雅黑"/>
          <w:kern w:val="0"/>
          <w:szCs w:val="21"/>
        </w:rPr>
        <w:t>：</w:t>
      </w:r>
    </w:p>
    <w:p>
      <w:pPr>
        <w:pStyle w:val="22"/>
        <w:numPr>
          <w:ilvl w:val="0"/>
          <w:numId w:val="4"/>
        </w:numPr>
        <w:spacing w:line="360" w:lineRule="auto"/>
        <w:ind w:firstLineChars="0"/>
        <w:rPr>
          <w:rFonts w:ascii="微软雅黑" w:hAnsi="微软雅黑" w:eastAsia="微软雅黑"/>
          <w:kern w:val="0"/>
          <w:szCs w:val="21"/>
        </w:rPr>
      </w:pPr>
      <w:r>
        <w:rPr>
          <w:rFonts w:hint="eastAsia" w:ascii="微软雅黑" w:hAnsi="微软雅黑" w:eastAsia="微软雅黑"/>
          <w:kern w:val="0"/>
          <w:szCs w:val="21"/>
        </w:rPr>
        <w:t>汽修连锁机构、汽修企业集团或150人以上大型汽修企业价格</w:t>
      </w:r>
      <w:r>
        <w:rPr>
          <w:rFonts w:ascii="微软雅黑" w:hAnsi="微软雅黑" w:eastAsia="微软雅黑"/>
          <w:kern w:val="0"/>
          <w:szCs w:val="21"/>
        </w:rPr>
        <w:t>另议</w:t>
      </w:r>
    </w:p>
    <w:p>
      <w:pPr>
        <w:pStyle w:val="22"/>
        <w:numPr>
          <w:ilvl w:val="0"/>
          <w:numId w:val="4"/>
        </w:numPr>
        <w:spacing w:line="360" w:lineRule="auto"/>
        <w:ind w:firstLineChars="0"/>
        <w:rPr>
          <w:rFonts w:ascii="微软雅黑" w:hAnsi="微软雅黑" w:eastAsia="微软雅黑"/>
          <w:kern w:val="0"/>
          <w:szCs w:val="21"/>
        </w:rPr>
      </w:pPr>
      <w:r>
        <w:rPr>
          <w:rFonts w:ascii="微软雅黑" w:hAnsi="微软雅黑" w:eastAsia="微软雅黑"/>
          <w:kern w:val="0"/>
          <w:szCs w:val="21"/>
        </w:rPr>
        <w:t>认证费不含审查员进驻</w:t>
      </w:r>
      <w:r>
        <w:rPr>
          <w:rFonts w:hint="eastAsia" w:ascii="微软雅黑" w:hAnsi="微软雅黑" w:eastAsia="微软雅黑"/>
          <w:kern w:val="0"/>
          <w:szCs w:val="21"/>
        </w:rPr>
        <w:t>现场</w:t>
      </w:r>
      <w:r>
        <w:rPr>
          <w:rFonts w:ascii="微软雅黑" w:hAnsi="微软雅黑" w:eastAsia="微软雅黑"/>
          <w:kern w:val="0"/>
          <w:szCs w:val="21"/>
        </w:rPr>
        <w:t>审查</w:t>
      </w:r>
      <w:r>
        <w:rPr>
          <w:rFonts w:hint="eastAsia" w:ascii="微软雅黑" w:hAnsi="微软雅黑" w:eastAsia="微软雅黑"/>
          <w:kern w:val="0"/>
          <w:szCs w:val="21"/>
        </w:rPr>
        <w:t>时</w:t>
      </w:r>
      <w:r>
        <w:rPr>
          <w:rFonts w:ascii="微软雅黑" w:hAnsi="微软雅黑" w:eastAsia="微软雅黑"/>
          <w:kern w:val="0"/>
          <w:szCs w:val="21"/>
        </w:rPr>
        <w:t>的</w:t>
      </w:r>
      <w:r>
        <w:rPr>
          <w:rFonts w:hint="eastAsia" w:ascii="微软雅黑" w:hAnsi="微软雅黑" w:eastAsia="微软雅黑"/>
          <w:kern w:val="0"/>
          <w:szCs w:val="21"/>
        </w:rPr>
        <w:t>往返差旅</w:t>
      </w:r>
      <w:r>
        <w:rPr>
          <w:rFonts w:ascii="微软雅黑" w:hAnsi="微软雅黑" w:eastAsia="微软雅黑"/>
          <w:kern w:val="0"/>
          <w:szCs w:val="21"/>
        </w:rPr>
        <w:t>费。</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A0000287" w:usb1="28CF3C52"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9908105"/>
    </w:sdtPr>
    <w:sdtContent>
      <w:sdt>
        <w:sdtPr>
          <w:id w:val="-1705238520"/>
        </w:sdtPr>
        <w:sdtContent>
          <w:p>
            <w:pPr>
              <w:pStyle w:val="6"/>
              <w:jc w:val="right"/>
            </w:pP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放心</w:t>
    </w:r>
    <w:r>
      <w:t>汽修认证项目介绍</w:t>
    </w:r>
    <w:r>
      <w:drawing>
        <wp:inline distT="0" distB="0" distL="0" distR="0">
          <wp:extent cx="609600" cy="609600"/>
          <wp:effectExtent l="0" t="0" r="0" b="0"/>
          <wp:docPr id="4" name="图片 4" descr="D:\放心认证\图片\放心联合认证中心LOGO像素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放心认证\图片\放心联合认证中心LOGO像素2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a:ln>
                    <a:noFill/>
                  </a:ln>
                </pic:spPr>
              </pic:pic>
            </a:graphicData>
          </a:graphic>
        </wp:inline>
      </w:drawing>
    </w:r>
    <w:r>
      <w:rPr>
        <w:rFonts w:hint="eastAsia"/>
      </w:rPr>
      <w:t>放心</w:t>
    </w:r>
    <w:r>
      <w:t>联合认证中心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55053"/>
    <w:multiLevelType w:val="multilevel"/>
    <w:tmpl w:val="2785505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3FDA514D"/>
    <w:multiLevelType w:val="multilevel"/>
    <w:tmpl w:val="3FDA514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3FEB5BD6"/>
    <w:multiLevelType w:val="multilevel"/>
    <w:tmpl w:val="3FEB5BD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191" w:hanging="766"/>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E7721F1"/>
    <w:multiLevelType w:val="multilevel"/>
    <w:tmpl w:val="6E7721F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01"/>
    <w:rsid w:val="000004E7"/>
    <w:rsid w:val="0000749E"/>
    <w:rsid w:val="000106D5"/>
    <w:rsid w:val="00011131"/>
    <w:rsid w:val="00011212"/>
    <w:rsid w:val="00011214"/>
    <w:rsid w:val="000114D4"/>
    <w:rsid w:val="0001259A"/>
    <w:rsid w:val="00015128"/>
    <w:rsid w:val="00015AC4"/>
    <w:rsid w:val="00015E5A"/>
    <w:rsid w:val="0001750B"/>
    <w:rsid w:val="000204A6"/>
    <w:rsid w:val="00021010"/>
    <w:rsid w:val="000213FD"/>
    <w:rsid w:val="00023FF7"/>
    <w:rsid w:val="000245BD"/>
    <w:rsid w:val="000246FA"/>
    <w:rsid w:val="0002488F"/>
    <w:rsid w:val="00026FEF"/>
    <w:rsid w:val="00032052"/>
    <w:rsid w:val="00033B61"/>
    <w:rsid w:val="000368C4"/>
    <w:rsid w:val="00040A19"/>
    <w:rsid w:val="00041FBC"/>
    <w:rsid w:val="0004247A"/>
    <w:rsid w:val="00046388"/>
    <w:rsid w:val="00060721"/>
    <w:rsid w:val="00061721"/>
    <w:rsid w:val="00064059"/>
    <w:rsid w:val="00065345"/>
    <w:rsid w:val="00066C04"/>
    <w:rsid w:val="00066C99"/>
    <w:rsid w:val="00071E33"/>
    <w:rsid w:val="00074891"/>
    <w:rsid w:val="000772C5"/>
    <w:rsid w:val="00077951"/>
    <w:rsid w:val="00082664"/>
    <w:rsid w:val="00084C32"/>
    <w:rsid w:val="000861D6"/>
    <w:rsid w:val="00086F0C"/>
    <w:rsid w:val="00087A30"/>
    <w:rsid w:val="000904A0"/>
    <w:rsid w:val="000973EF"/>
    <w:rsid w:val="000A0503"/>
    <w:rsid w:val="000A23AC"/>
    <w:rsid w:val="000A77B3"/>
    <w:rsid w:val="000B0017"/>
    <w:rsid w:val="000B0DC1"/>
    <w:rsid w:val="000B2C65"/>
    <w:rsid w:val="000B347C"/>
    <w:rsid w:val="000B5568"/>
    <w:rsid w:val="000C051E"/>
    <w:rsid w:val="000C0F66"/>
    <w:rsid w:val="000C4FCB"/>
    <w:rsid w:val="000C6039"/>
    <w:rsid w:val="000C71DF"/>
    <w:rsid w:val="000D050A"/>
    <w:rsid w:val="000D2051"/>
    <w:rsid w:val="000D4EC4"/>
    <w:rsid w:val="000D5FDB"/>
    <w:rsid w:val="000D64A2"/>
    <w:rsid w:val="000D659B"/>
    <w:rsid w:val="000E4AA5"/>
    <w:rsid w:val="000E5EEF"/>
    <w:rsid w:val="000E6C49"/>
    <w:rsid w:val="000E7039"/>
    <w:rsid w:val="000E762E"/>
    <w:rsid w:val="000E7962"/>
    <w:rsid w:val="000F0977"/>
    <w:rsid w:val="000F1B2A"/>
    <w:rsid w:val="000F27CF"/>
    <w:rsid w:val="000F2A86"/>
    <w:rsid w:val="000F6933"/>
    <w:rsid w:val="00101435"/>
    <w:rsid w:val="001043A6"/>
    <w:rsid w:val="00104563"/>
    <w:rsid w:val="00107435"/>
    <w:rsid w:val="001142F0"/>
    <w:rsid w:val="00114D67"/>
    <w:rsid w:val="00114D9B"/>
    <w:rsid w:val="00120993"/>
    <w:rsid w:val="001243C0"/>
    <w:rsid w:val="001272B0"/>
    <w:rsid w:val="001307F6"/>
    <w:rsid w:val="00130B19"/>
    <w:rsid w:val="00131FF0"/>
    <w:rsid w:val="00133A77"/>
    <w:rsid w:val="00141384"/>
    <w:rsid w:val="00142147"/>
    <w:rsid w:val="00142EB5"/>
    <w:rsid w:val="00154891"/>
    <w:rsid w:val="0015658D"/>
    <w:rsid w:val="00160BED"/>
    <w:rsid w:val="00161D50"/>
    <w:rsid w:val="00162E2B"/>
    <w:rsid w:val="0016687B"/>
    <w:rsid w:val="00167FDB"/>
    <w:rsid w:val="00171E83"/>
    <w:rsid w:val="001736DF"/>
    <w:rsid w:val="00174C60"/>
    <w:rsid w:val="00175342"/>
    <w:rsid w:val="001756AC"/>
    <w:rsid w:val="00176208"/>
    <w:rsid w:val="0018779B"/>
    <w:rsid w:val="00187D21"/>
    <w:rsid w:val="001910E6"/>
    <w:rsid w:val="0019348F"/>
    <w:rsid w:val="00193BE3"/>
    <w:rsid w:val="001945E5"/>
    <w:rsid w:val="00195616"/>
    <w:rsid w:val="00195934"/>
    <w:rsid w:val="00195CA6"/>
    <w:rsid w:val="001A0A67"/>
    <w:rsid w:val="001A1211"/>
    <w:rsid w:val="001A77C6"/>
    <w:rsid w:val="001B497A"/>
    <w:rsid w:val="001B5902"/>
    <w:rsid w:val="001C0184"/>
    <w:rsid w:val="001C377D"/>
    <w:rsid w:val="001C720F"/>
    <w:rsid w:val="001C7F72"/>
    <w:rsid w:val="001D11E9"/>
    <w:rsid w:val="001D15F7"/>
    <w:rsid w:val="001D225E"/>
    <w:rsid w:val="001D307B"/>
    <w:rsid w:val="001D32C9"/>
    <w:rsid w:val="001D4471"/>
    <w:rsid w:val="001D5A60"/>
    <w:rsid w:val="001D69C8"/>
    <w:rsid w:val="001D7945"/>
    <w:rsid w:val="001E0590"/>
    <w:rsid w:val="001E0908"/>
    <w:rsid w:val="001E230D"/>
    <w:rsid w:val="001E29DD"/>
    <w:rsid w:val="001F10B8"/>
    <w:rsid w:val="001F11CD"/>
    <w:rsid w:val="001F2FE5"/>
    <w:rsid w:val="001F4298"/>
    <w:rsid w:val="001F5AF9"/>
    <w:rsid w:val="001F700D"/>
    <w:rsid w:val="001F71F1"/>
    <w:rsid w:val="001F7BB6"/>
    <w:rsid w:val="00201FE5"/>
    <w:rsid w:val="0020416E"/>
    <w:rsid w:val="00205AF8"/>
    <w:rsid w:val="00211ED6"/>
    <w:rsid w:val="00215F29"/>
    <w:rsid w:val="00217AC0"/>
    <w:rsid w:val="00220697"/>
    <w:rsid w:val="00221386"/>
    <w:rsid w:val="002230D0"/>
    <w:rsid w:val="00226582"/>
    <w:rsid w:val="0023152D"/>
    <w:rsid w:val="002327CC"/>
    <w:rsid w:val="00233D89"/>
    <w:rsid w:val="002342DD"/>
    <w:rsid w:val="00234995"/>
    <w:rsid w:val="00237520"/>
    <w:rsid w:val="00237BA6"/>
    <w:rsid w:val="00240010"/>
    <w:rsid w:val="0024557D"/>
    <w:rsid w:val="002456E4"/>
    <w:rsid w:val="00246066"/>
    <w:rsid w:val="0024796D"/>
    <w:rsid w:val="0025129E"/>
    <w:rsid w:val="00251C3A"/>
    <w:rsid w:val="00252888"/>
    <w:rsid w:val="00260931"/>
    <w:rsid w:val="00260993"/>
    <w:rsid w:val="00260F36"/>
    <w:rsid w:val="00264AFC"/>
    <w:rsid w:val="00264C1C"/>
    <w:rsid w:val="00264FF3"/>
    <w:rsid w:val="0026743F"/>
    <w:rsid w:val="00270910"/>
    <w:rsid w:val="00271967"/>
    <w:rsid w:val="002767FD"/>
    <w:rsid w:val="0028250F"/>
    <w:rsid w:val="00290C33"/>
    <w:rsid w:val="00291A90"/>
    <w:rsid w:val="0029503D"/>
    <w:rsid w:val="0029583C"/>
    <w:rsid w:val="0029761F"/>
    <w:rsid w:val="002A00C8"/>
    <w:rsid w:val="002A2B24"/>
    <w:rsid w:val="002A2D0E"/>
    <w:rsid w:val="002A455F"/>
    <w:rsid w:val="002B0A62"/>
    <w:rsid w:val="002B3324"/>
    <w:rsid w:val="002B3EE7"/>
    <w:rsid w:val="002B4C86"/>
    <w:rsid w:val="002B5D65"/>
    <w:rsid w:val="002C2CD4"/>
    <w:rsid w:val="002C37C2"/>
    <w:rsid w:val="002C59B3"/>
    <w:rsid w:val="002C6E09"/>
    <w:rsid w:val="002C7ADC"/>
    <w:rsid w:val="002D2418"/>
    <w:rsid w:val="002D5824"/>
    <w:rsid w:val="002D5A80"/>
    <w:rsid w:val="002D79EB"/>
    <w:rsid w:val="002E2545"/>
    <w:rsid w:val="002E77F3"/>
    <w:rsid w:val="002F6916"/>
    <w:rsid w:val="002F74B1"/>
    <w:rsid w:val="003009F8"/>
    <w:rsid w:val="00301175"/>
    <w:rsid w:val="003012EB"/>
    <w:rsid w:val="00301946"/>
    <w:rsid w:val="00302362"/>
    <w:rsid w:val="00302AE1"/>
    <w:rsid w:val="003054CB"/>
    <w:rsid w:val="003055BA"/>
    <w:rsid w:val="0030602D"/>
    <w:rsid w:val="00306256"/>
    <w:rsid w:val="00306A98"/>
    <w:rsid w:val="003138C9"/>
    <w:rsid w:val="00316D27"/>
    <w:rsid w:val="00316ED8"/>
    <w:rsid w:val="00316EF2"/>
    <w:rsid w:val="00323EA0"/>
    <w:rsid w:val="003254F9"/>
    <w:rsid w:val="00327148"/>
    <w:rsid w:val="00327348"/>
    <w:rsid w:val="00334168"/>
    <w:rsid w:val="0033596D"/>
    <w:rsid w:val="0033603E"/>
    <w:rsid w:val="003378BC"/>
    <w:rsid w:val="0034210E"/>
    <w:rsid w:val="00342465"/>
    <w:rsid w:val="00342D8D"/>
    <w:rsid w:val="00343A66"/>
    <w:rsid w:val="0034411B"/>
    <w:rsid w:val="0034446D"/>
    <w:rsid w:val="00346616"/>
    <w:rsid w:val="00346DBE"/>
    <w:rsid w:val="0034746D"/>
    <w:rsid w:val="00354E64"/>
    <w:rsid w:val="0035609A"/>
    <w:rsid w:val="00356A87"/>
    <w:rsid w:val="00361055"/>
    <w:rsid w:val="003632B5"/>
    <w:rsid w:val="0036370E"/>
    <w:rsid w:val="00365682"/>
    <w:rsid w:val="00367949"/>
    <w:rsid w:val="00370429"/>
    <w:rsid w:val="003746D4"/>
    <w:rsid w:val="0037778F"/>
    <w:rsid w:val="00380DC1"/>
    <w:rsid w:val="00381244"/>
    <w:rsid w:val="003817D1"/>
    <w:rsid w:val="00381D26"/>
    <w:rsid w:val="003878F8"/>
    <w:rsid w:val="00387F7F"/>
    <w:rsid w:val="00393E6F"/>
    <w:rsid w:val="003A0A7A"/>
    <w:rsid w:val="003A0BB5"/>
    <w:rsid w:val="003A1977"/>
    <w:rsid w:val="003A3052"/>
    <w:rsid w:val="003A3F0E"/>
    <w:rsid w:val="003A435E"/>
    <w:rsid w:val="003B4A9E"/>
    <w:rsid w:val="003B774C"/>
    <w:rsid w:val="003C3643"/>
    <w:rsid w:val="003C4C2D"/>
    <w:rsid w:val="003D1CAF"/>
    <w:rsid w:val="003D2C47"/>
    <w:rsid w:val="003D5097"/>
    <w:rsid w:val="003E019C"/>
    <w:rsid w:val="003E1C44"/>
    <w:rsid w:val="003E1E72"/>
    <w:rsid w:val="003E58BC"/>
    <w:rsid w:val="003E7732"/>
    <w:rsid w:val="003F056E"/>
    <w:rsid w:val="003F06B2"/>
    <w:rsid w:val="003F3C78"/>
    <w:rsid w:val="003F75A4"/>
    <w:rsid w:val="00403532"/>
    <w:rsid w:val="00404FC1"/>
    <w:rsid w:val="00410201"/>
    <w:rsid w:val="00410A89"/>
    <w:rsid w:val="00412EBA"/>
    <w:rsid w:val="004137F4"/>
    <w:rsid w:val="004157B5"/>
    <w:rsid w:val="0041611B"/>
    <w:rsid w:val="00421B19"/>
    <w:rsid w:val="0043151A"/>
    <w:rsid w:val="00433315"/>
    <w:rsid w:val="0044162D"/>
    <w:rsid w:val="004423A9"/>
    <w:rsid w:val="004474EA"/>
    <w:rsid w:val="0045063E"/>
    <w:rsid w:val="00451957"/>
    <w:rsid w:val="00451F41"/>
    <w:rsid w:val="0045406E"/>
    <w:rsid w:val="00455B50"/>
    <w:rsid w:val="00457050"/>
    <w:rsid w:val="00457EC9"/>
    <w:rsid w:val="004604BE"/>
    <w:rsid w:val="004614F4"/>
    <w:rsid w:val="00467B49"/>
    <w:rsid w:val="00470A77"/>
    <w:rsid w:val="00471002"/>
    <w:rsid w:val="00474370"/>
    <w:rsid w:val="00475F7D"/>
    <w:rsid w:val="00477736"/>
    <w:rsid w:val="00480012"/>
    <w:rsid w:val="00483062"/>
    <w:rsid w:val="0048465E"/>
    <w:rsid w:val="004854F9"/>
    <w:rsid w:val="00485AFD"/>
    <w:rsid w:val="00491916"/>
    <w:rsid w:val="004923A4"/>
    <w:rsid w:val="00493FE0"/>
    <w:rsid w:val="00494C36"/>
    <w:rsid w:val="0049556C"/>
    <w:rsid w:val="0049565C"/>
    <w:rsid w:val="00497C6E"/>
    <w:rsid w:val="004A0176"/>
    <w:rsid w:val="004A1343"/>
    <w:rsid w:val="004A2ACA"/>
    <w:rsid w:val="004A65CD"/>
    <w:rsid w:val="004B1F6E"/>
    <w:rsid w:val="004C1A67"/>
    <w:rsid w:val="004C661D"/>
    <w:rsid w:val="004C674D"/>
    <w:rsid w:val="004C6E81"/>
    <w:rsid w:val="004D0142"/>
    <w:rsid w:val="004D18CE"/>
    <w:rsid w:val="004D645C"/>
    <w:rsid w:val="004D686B"/>
    <w:rsid w:val="004E3EBE"/>
    <w:rsid w:val="004E663D"/>
    <w:rsid w:val="004F03A2"/>
    <w:rsid w:val="004F062B"/>
    <w:rsid w:val="004F40E5"/>
    <w:rsid w:val="004F4D85"/>
    <w:rsid w:val="004F5310"/>
    <w:rsid w:val="004F6D4A"/>
    <w:rsid w:val="00501E8C"/>
    <w:rsid w:val="00503F98"/>
    <w:rsid w:val="005055F3"/>
    <w:rsid w:val="00514A51"/>
    <w:rsid w:val="005152FC"/>
    <w:rsid w:val="00515AF8"/>
    <w:rsid w:val="005161A6"/>
    <w:rsid w:val="0051650A"/>
    <w:rsid w:val="00516858"/>
    <w:rsid w:val="005203AC"/>
    <w:rsid w:val="00523B5A"/>
    <w:rsid w:val="00524C6F"/>
    <w:rsid w:val="005253C9"/>
    <w:rsid w:val="00526415"/>
    <w:rsid w:val="005316DC"/>
    <w:rsid w:val="00531A60"/>
    <w:rsid w:val="00533611"/>
    <w:rsid w:val="005351C8"/>
    <w:rsid w:val="0053528E"/>
    <w:rsid w:val="005354A2"/>
    <w:rsid w:val="005366A4"/>
    <w:rsid w:val="00537BE5"/>
    <w:rsid w:val="00537FBF"/>
    <w:rsid w:val="00545026"/>
    <w:rsid w:val="005538EA"/>
    <w:rsid w:val="00554F88"/>
    <w:rsid w:val="00555434"/>
    <w:rsid w:val="00560649"/>
    <w:rsid w:val="00560ACE"/>
    <w:rsid w:val="00565031"/>
    <w:rsid w:val="00565335"/>
    <w:rsid w:val="0056541F"/>
    <w:rsid w:val="00566CCC"/>
    <w:rsid w:val="00580B57"/>
    <w:rsid w:val="00581221"/>
    <w:rsid w:val="005816A3"/>
    <w:rsid w:val="00583FEA"/>
    <w:rsid w:val="00584A41"/>
    <w:rsid w:val="00585042"/>
    <w:rsid w:val="005859C9"/>
    <w:rsid w:val="00585F03"/>
    <w:rsid w:val="00586046"/>
    <w:rsid w:val="00587937"/>
    <w:rsid w:val="00587B3E"/>
    <w:rsid w:val="00587D8A"/>
    <w:rsid w:val="00591A55"/>
    <w:rsid w:val="0059501B"/>
    <w:rsid w:val="005958C2"/>
    <w:rsid w:val="005965AB"/>
    <w:rsid w:val="005A4DFD"/>
    <w:rsid w:val="005B0290"/>
    <w:rsid w:val="005B1631"/>
    <w:rsid w:val="005B23B2"/>
    <w:rsid w:val="005B3027"/>
    <w:rsid w:val="005B3FA9"/>
    <w:rsid w:val="005B4531"/>
    <w:rsid w:val="005B4A4F"/>
    <w:rsid w:val="005B6355"/>
    <w:rsid w:val="005B6535"/>
    <w:rsid w:val="005C0D40"/>
    <w:rsid w:val="005C250D"/>
    <w:rsid w:val="005C4B9C"/>
    <w:rsid w:val="005C5140"/>
    <w:rsid w:val="005C7A9E"/>
    <w:rsid w:val="005D35F9"/>
    <w:rsid w:val="005D501E"/>
    <w:rsid w:val="005D6638"/>
    <w:rsid w:val="005D66A0"/>
    <w:rsid w:val="005D7AD8"/>
    <w:rsid w:val="005E0065"/>
    <w:rsid w:val="005E28C7"/>
    <w:rsid w:val="005E57F8"/>
    <w:rsid w:val="005E6F4A"/>
    <w:rsid w:val="005E7148"/>
    <w:rsid w:val="0060165A"/>
    <w:rsid w:val="006016DE"/>
    <w:rsid w:val="006045FE"/>
    <w:rsid w:val="00605C4B"/>
    <w:rsid w:val="0060762A"/>
    <w:rsid w:val="006108A8"/>
    <w:rsid w:val="00612DFB"/>
    <w:rsid w:val="006172C7"/>
    <w:rsid w:val="00623844"/>
    <w:rsid w:val="00623BC5"/>
    <w:rsid w:val="00625D30"/>
    <w:rsid w:val="00626F06"/>
    <w:rsid w:val="0063001C"/>
    <w:rsid w:val="0063118F"/>
    <w:rsid w:val="0063131B"/>
    <w:rsid w:val="00631F73"/>
    <w:rsid w:val="0063574F"/>
    <w:rsid w:val="006364D9"/>
    <w:rsid w:val="00641582"/>
    <w:rsid w:val="00641E78"/>
    <w:rsid w:val="00650830"/>
    <w:rsid w:val="00655720"/>
    <w:rsid w:val="00655F07"/>
    <w:rsid w:val="0065733C"/>
    <w:rsid w:val="00657EC6"/>
    <w:rsid w:val="00662D26"/>
    <w:rsid w:val="006636F5"/>
    <w:rsid w:val="00663B2A"/>
    <w:rsid w:val="00665568"/>
    <w:rsid w:val="00665917"/>
    <w:rsid w:val="00667B69"/>
    <w:rsid w:val="00670A68"/>
    <w:rsid w:val="00670DA9"/>
    <w:rsid w:val="00674C84"/>
    <w:rsid w:val="00674F03"/>
    <w:rsid w:val="006766E1"/>
    <w:rsid w:val="006778B4"/>
    <w:rsid w:val="006821A6"/>
    <w:rsid w:val="006867CF"/>
    <w:rsid w:val="006875B7"/>
    <w:rsid w:val="00691F1C"/>
    <w:rsid w:val="00695189"/>
    <w:rsid w:val="006A14DF"/>
    <w:rsid w:val="006A24F0"/>
    <w:rsid w:val="006A4F7F"/>
    <w:rsid w:val="006A5121"/>
    <w:rsid w:val="006A5F89"/>
    <w:rsid w:val="006B0E4F"/>
    <w:rsid w:val="006B386E"/>
    <w:rsid w:val="006B5565"/>
    <w:rsid w:val="006C013C"/>
    <w:rsid w:val="006C1F52"/>
    <w:rsid w:val="006C72C7"/>
    <w:rsid w:val="006D0585"/>
    <w:rsid w:val="006D07D4"/>
    <w:rsid w:val="006D39A5"/>
    <w:rsid w:val="006E0069"/>
    <w:rsid w:val="006E412B"/>
    <w:rsid w:val="006E56D4"/>
    <w:rsid w:val="006E63E6"/>
    <w:rsid w:val="006E7387"/>
    <w:rsid w:val="006F30E0"/>
    <w:rsid w:val="006F4362"/>
    <w:rsid w:val="006F5835"/>
    <w:rsid w:val="00706844"/>
    <w:rsid w:val="007075E4"/>
    <w:rsid w:val="00707FA4"/>
    <w:rsid w:val="007108C1"/>
    <w:rsid w:val="00711000"/>
    <w:rsid w:val="007124A8"/>
    <w:rsid w:val="0071649C"/>
    <w:rsid w:val="00722087"/>
    <w:rsid w:val="0072244D"/>
    <w:rsid w:val="00722DB2"/>
    <w:rsid w:val="007242D7"/>
    <w:rsid w:val="0072525A"/>
    <w:rsid w:val="00726021"/>
    <w:rsid w:val="00727C29"/>
    <w:rsid w:val="00734305"/>
    <w:rsid w:val="0073535A"/>
    <w:rsid w:val="007359F2"/>
    <w:rsid w:val="00736FCE"/>
    <w:rsid w:val="00737B7F"/>
    <w:rsid w:val="00740B52"/>
    <w:rsid w:val="0074375B"/>
    <w:rsid w:val="0074388B"/>
    <w:rsid w:val="007515FA"/>
    <w:rsid w:val="007525F3"/>
    <w:rsid w:val="00752D20"/>
    <w:rsid w:val="0075319A"/>
    <w:rsid w:val="00753DFF"/>
    <w:rsid w:val="007554EF"/>
    <w:rsid w:val="00760108"/>
    <w:rsid w:val="00760579"/>
    <w:rsid w:val="00763312"/>
    <w:rsid w:val="007673D4"/>
    <w:rsid w:val="00767651"/>
    <w:rsid w:val="00767D70"/>
    <w:rsid w:val="00771068"/>
    <w:rsid w:val="007817F0"/>
    <w:rsid w:val="00782504"/>
    <w:rsid w:val="007830A6"/>
    <w:rsid w:val="0078422A"/>
    <w:rsid w:val="00790A22"/>
    <w:rsid w:val="00790F9B"/>
    <w:rsid w:val="007943AC"/>
    <w:rsid w:val="007951D5"/>
    <w:rsid w:val="0079707B"/>
    <w:rsid w:val="007A0AA6"/>
    <w:rsid w:val="007A1DEA"/>
    <w:rsid w:val="007A23D3"/>
    <w:rsid w:val="007B0E72"/>
    <w:rsid w:val="007B1A41"/>
    <w:rsid w:val="007B257C"/>
    <w:rsid w:val="007B4159"/>
    <w:rsid w:val="007B7806"/>
    <w:rsid w:val="007B7B7A"/>
    <w:rsid w:val="007C054D"/>
    <w:rsid w:val="007C114B"/>
    <w:rsid w:val="007C11B3"/>
    <w:rsid w:val="007C4987"/>
    <w:rsid w:val="007D7B29"/>
    <w:rsid w:val="007E1AE8"/>
    <w:rsid w:val="007E3DF1"/>
    <w:rsid w:val="007E44CD"/>
    <w:rsid w:val="007E4D27"/>
    <w:rsid w:val="007F0019"/>
    <w:rsid w:val="007F295E"/>
    <w:rsid w:val="007F2AEF"/>
    <w:rsid w:val="007F3138"/>
    <w:rsid w:val="007F38B2"/>
    <w:rsid w:val="007F5103"/>
    <w:rsid w:val="007F69AB"/>
    <w:rsid w:val="007F7638"/>
    <w:rsid w:val="007F7B95"/>
    <w:rsid w:val="0080155C"/>
    <w:rsid w:val="00807F9B"/>
    <w:rsid w:val="008101BC"/>
    <w:rsid w:val="00810943"/>
    <w:rsid w:val="0081428F"/>
    <w:rsid w:val="00815F71"/>
    <w:rsid w:val="00816B89"/>
    <w:rsid w:val="008210D6"/>
    <w:rsid w:val="00825C73"/>
    <w:rsid w:val="00825F82"/>
    <w:rsid w:val="008309AF"/>
    <w:rsid w:val="00830B0D"/>
    <w:rsid w:val="008318A5"/>
    <w:rsid w:val="00831D45"/>
    <w:rsid w:val="00832C7B"/>
    <w:rsid w:val="00833CEA"/>
    <w:rsid w:val="008353DC"/>
    <w:rsid w:val="00836A53"/>
    <w:rsid w:val="008378D0"/>
    <w:rsid w:val="00843B87"/>
    <w:rsid w:val="008464EF"/>
    <w:rsid w:val="0085006C"/>
    <w:rsid w:val="00852BB9"/>
    <w:rsid w:val="00854E91"/>
    <w:rsid w:val="00855124"/>
    <w:rsid w:val="008568B0"/>
    <w:rsid w:val="00856F0A"/>
    <w:rsid w:val="008603F1"/>
    <w:rsid w:val="0086081E"/>
    <w:rsid w:val="00861FF3"/>
    <w:rsid w:val="00865907"/>
    <w:rsid w:val="0086611E"/>
    <w:rsid w:val="00866E60"/>
    <w:rsid w:val="0086760E"/>
    <w:rsid w:val="008676BA"/>
    <w:rsid w:val="008678B5"/>
    <w:rsid w:val="00877427"/>
    <w:rsid w:val="0087749D"/>
    <w:rsid w:val="008806E3"/>
    <w:rsid w:val="0088073F"/>
    <w:rsid w:val="00884554"/>
    <w:rsid w:val="00884DAE"/>
    <w:rsid w:val="00890519"/>
    <w:rsid w:val="0089057E"/>
    <w:rsid w:val="00890E4B"/>
    <w:rsid w:val="0089629A"/>
    <w:rsid w:val="008A3BE8"/>
    <w:rsid w:val="008A5B19"/>
    <w:rsid w:val="008B19D5"/>
    <w:rsid w:val="008B4F72"/>
    <w:rsid w:val="008C2FD9"/>
    <w:rsid w:val="008C413B"/>
    <w:rsid w:val="008C4F2D"/>
    <w:rsid w:val="008D023B"/>
    <w:rsid w:val="008D14E6"/>
    <w:rsid w:val="008D1BE3"/>
    <w:rsid w:val="008D2939"/>
    <w:rsid w:val="008D3E1D"/>
    <w:rsid w:val="008D68FF"/>
    <w:rsid w:val="008E08AC"/>
    <w:rsid w:val="008E4873"/>
    <w:rsid w:val="008F0553"/>
    <w:rsid w:val="008F2808"/>
    <w:rsid w:val="008F3D01"/>
    <w:rsid w:val="00902890"/>
    <w:rsid w:val="00902CA1"/>
    <w:rsid w:val="00904A99"/>
    <w:rsid w:val="0090746D"/>
    <w:rsid w:val="00911DC3"/>
    <w:rsid w:val="009148AC"/>
    <w:rsid w:val="00922B81"/>
    <w:rsid w:val="00924924"/>
    <w:rsid w:val="00926870"/>
    <w:rsid w:val="0092779D"/>
    <w:rsid w:val="0093049F"/>
    <w:rsid w:val="00930F05"/>
    <w:rsid w:val="0093574C"/>
    <w:rsid w:val="00935AF0"/>
    <w:rsid w:val="00936998"/>
    <w:rsid w:val="009379D4"/>
    <w:rsid w:val="0094577D"/>
    <w:rsid w:val="0095147D"/>
    <w:rsid w:val="009515B3"/>
    <w:rsid w:val="0095291B"/>
    <w:rsid w:val="00952CC5"/>
    <w:rsid w:val="00952E63"/>
    <w:rsid w:val="0095433C"/>
    <w:rsid w:val="009574B3"/>
    <w:rsid w:val="00957BC8"/>
    <w:rsid w:val="009601AE"/>
    <w:rsid w:val="00960220"/>
    <w:rsid w:val="00961262"/>
    <w:rsid w:val="00970366"/>
    <w:rsid w:val="00971519"/>
    <w:rsid w:val="00971D25"/>
    <w:rsid w:val="0097489D"/>
    <w:rsid w:val="00976063"/>
    <w:rsid w:val="0097713D"/>
    <w:rsid w:val="009807EB"/>
    <w:rsid w:val="0098146E"/>
    <w:rsid w:val="009821C4"/>
    <w:rsid w:val="00984C66"/>
    <w:rsid w:val="00987C0F"/>
    <w:rsid w:val="00987EFD"/>
    <w:rsid w:val="009919FD"/>
    <w:rsid w:val="00995935"/>
    <w:rsid w:val="00997D9B"/>
    <w:rsid w:val="009A1EA9"/>
    <w:rsid w:val="009A3D97"/>
    <w:rsid w:val="009A4A42"/>
    <w:rsid w:val="009A4B9C"/>
    <w:rsid w:val="009A5D72"/>
    <w:rsid w:val="009A6DD0"/>
    <w:rsid w:val="009B0964"/>
    <w:rsid w:val="009B69C9"/>
    <w:rsid w:val="009C057D"/>
    <w:rsid w:val="009C0D2D"/>
    <w:rsid w:val="009C2605"/>
    <w:rsid w:val="009C4A25"/>
    <w:rsid w:val="009C54B3"/>
    <w:rsid w:val="009C58FE"/>
    <w:rsid w:val="009D1F93"/>
    <w:rsid w:val="009D6BEA"/>
    <w:rsid w:val="009D70A6"/>
    <w:rsid w:val="009D7F43"/>
    <w:rsid w:val="009E2674"/>
    <w:rsid w:val="009F3DDA"/>
    <w:rsid w:val="009F4680"/>
    <w:rsid w:val="009F5527"/>
    <w:rsid w:val="009F6CD9"/>
    <w:rsid w:val="009F75F8"/>
    <w:rsid w:val="00A0087C"/>
    <w:rsid w:val="00A02503"/>
    <w:rsid w:val="00A0472D"/>
    <w:rsid w:val="00A05D8A"/>
    <w:rsid w:val="00A134D2"/>
    <w:rsid w:val="00A157A9"/>
    <w:rsid w:val="00A1742A"/>
    <w:rsid w:val="00A22011"/>
    <w:rsid w:val="00A2352F"/>
    <w:rsid w:val="00A26C02"/>
    <w:rsid w:val="00A30621"/>
    <w:rsid w:val="00A31581"/>
    <w:rsid w:val="00A347FD"/>
    <w:rsid w:val="00A36A4B"/>
    <w:rsid w:val="00A37741"/>
    <w:rsid w:val="00A4554B"/>
    <w:rsid w:val="00A45678"/>
    <w:rsid w:val="00A45E12"/>
    <w:rsid w:val="00A51722"/>
    <w:rsid w:val="00A54401"/>
    <w:rsid w:val="00A615D1"/>
    <w:rsid w:val="00A649D5"/>
    <w:rsid w:val="00A65F91"/>
    <w:rsid w:val="00A714DC"/>
    <w:rsid w:val="00A77A41"/>
    <w:rsid w:val="00A805A6"/>
    <w:rsid w:val="00A82788"/>
    <w:rsid w:val="00A8364C"/>
    <w:rsid w:val="00A844E8"/>
    <w:rsid w:val="00A907AB"/>
    <w:rsid w:val="00A94C40"/>
    <w:rsid w:val="00A96606"/>
    <w:rsid w:val="00A96C73"/>
    <w:rsid w:val="00AA0AB3"/>
    <w:rsid w:val="00AA4E46"/>
    <w:rsid w:val="00AB1236"/>
    <w:rsid w:val="00AB1FA3"/>
    <w:rsid w:val="00AB247B"/>
    <w:rsid w:val="00AB29AC"/>
    <w:rsid w:val="00AB33F9"/>
    <w:rsid w:val="00AC5A66"/>
    <w:rsid w:val="00AC5BE6"/>
    <w:rsid w:val="00AC77E6"/>
    <w:rsid w:val="00AC7A9B"/>
    <w:rsid w:val="00AD726E"/>
    <w:rsid w:val="00AD7B6D"/>
    <w:rsid w:val="00AE0604"/>
    <w:rsid w:val="00AE095E"/>
    <w:rsid w:val="00AE748F"/>
    <w:rsid w:val="00AF14A7"/>
    <w:rsid w:val="00AF2AA7"/>
    <w:rsid w:val="00AF3004"/>
    <w:rsid w:val="00AF4ABC"/>
    <w:rsid w:val="00B1016F"/>
    <w:rsid w:val="00B1050C"/>
    <w:rsid w:val="00B11B00"/>
    <w:rsid w:val="00B12F96"/>
    <w:rsid w:val="00B1772D"/>
    <w:rsid w:val="00B24C73"/>
    <w:rsid w:val="00B25600"/>
    <w:rsid w:val="00B30440"/>
    <w:rsid w:val="00B319C0"/>
    <w:rsid w:val="00B33FFB"/>
    <w:rsid w:val="00B4418F"/>
    <w:rsid w:val="00B44468"/>
    <w:rsid w:val="00B46426"/>
    <w:rsid w:val="00B479DF"/>
    <w:rsid w:val="00B509AE"/>
    <w:rsid w:val="00B520D6"/>
    <w:rsid w:val="00B54E46"/>
    <w:rsid w:val="00B5524C"/>
    <w:rsid w:val="00B55ABF"/>
    <w:rsid w:val="00B56019"/>
    <w:rsid w:val="00B568A9"/>
    <w:rsid w:val="00B61EA2"/>
    <w:rsid w:val="00B652C4"/>
    <w:rsid w:val="00B67140"/>
    <w:rsid w:val="00B76CDA"/>
    <w:rsid w:val="00B81B0D"/>
    <w:rsid w:val="00B867FE"/>
    <w:rsid w:val="00B90508"/>
    <w:rsid w:val="00B96451"/>
    <w:rsid w:val="00B97A0E"/>
    <w:rsid w:val="00BA0F41"/>
    <w:rsid w:val="00BA1416"/>
    <w:rsid w:val="00BA3BDC"/>
    <w:rsid w:val="00BA472A"/>
    <w:rsid w:val="00BA53EE"/>
    <w:rsid w:val="00BA54F2"/>
    <w:rsid w:val="00BA6BA7"/>
    <w:rsid w:val="00BA6EE3"/>
    <w:rsid w:val="00BA7414"/>
    <w:rsid w:val="00BB03BB"/>
    <w:rsid w:val="00BB29C3"/>
    <w:rsid w:val="00BB7BC8"/>
    <w:rsid w:val="00BC1C5D"/>
    <w:rsid w:val="00BC3C6B"/>
    <w:rsid w:val="00BC3C82"/>
    <w:rsid w:val="00BD46B2"/>
    <w:rsid w:val="00BD5779"/>
    <w:rsid w:val="00BE0EDC"/>
    <w:rsid w:val="00BE4674"/>
    <w:rsid w:val="00BE7E06"/>
    <w:rsid w:val="00BF1F2D"/>
    <w:rsid w:val="00BF1FA1"/>
    <w:rsid w:val="00BF2BE2"/>
    <w:rsid w:val="00BF5BC0"/>
    <w:rsid w:val="00BF66F0"/>
    <w:rsid w:val="00BF73F0"/>
    <w:rsid w:val="00C00F9D"/>
    <w:rsid w:val="00C010DF"/>
    <w:rsid w:val="00C02F9A"/>
    <w:rsid w:val="00C03F48"/>
    <w:rsid w:val="00C04375"/>
    <w:rsid w:val="00C04E46"/>
    <w:rsid w:val="00C10F69"/>
    <w:rsid w:val="00C12C60"/>
    <w:rsid w:val="00C1400F"/>
    <w:rsid w:val="00C14D1A"/>
    <w:rsid w:val="00C17575"/>
    <w:rsid w:val="00C21F08"/>
    <w:rsid w:val="00C24525"/>
    <w:rsid w:val="00C25DEF"/>
    <w:rsid w:val="00C264FB"/>
    <w:rsid w:val="00C30090"/>
    <w:rsid w:val="00C30A2B"/>
    <w:rsid w:val="00C31176"/>
    <w:rsid w:val="00C3167A"/>
    <w:rsid w:val="00C328D4"/>
    <w:rsid w:val="00C3369C"/>
    <w:rsid w:val="00C35565"/>
    <w:rsid w:val="00C36CE8"/>
    <w:rsid w:val="00C40554"/>
    <w:rsid w:val="00C4170A"/>
    <w:rsid w:val="00C443E0"/>
    <w:rsid w:val="00C44EC5"/>
    <w:rsid w:val="00C45AEB"/>
    <w:rsid w:val="00C47518"/>
    <w:rsid w:val="00C47555"/>
    <w:rsid w:val="00C47DED"/>
    <w:rsid w:val="00C52279"/>
    <w:rsid w:val="00C52690"/>
    <w:rsid w:val="00C54360"/>
    <w:rsid w:val="00C615C5"/>
    <w:rsid w:val="00C63EB5"/>
    <w:rsid w:val="00C661DC"/>
    <w:rsid w:val="00C72002"/>
    <w:rsid w:val="00C7285C"/>
    <w:rsid w:val="00C72E0A"/>
    <w:rsid w:val="00C72E54"/>
    <w:rsid w:val="00C82315"/>
    <w:rsid w:val="00C838CE"/>
    <w:rsid w:val="00C8681C"/>
    <w:rsid w:val="00C86EAB"/>
    <w:rsid w:val="00C9018B"/>
    <w:rsid w:val="00C91088"/>
    <w:rsid w:val="00C9727E"/>
    <w:rsid w:val="00CA0AAD"/>
    <w:rsid w:val="00CA0FA0"/>
    <w:rsid w:val="00CA2D05"/>
    <w:rsid w:val="00CA4AB7"/>
    <w:rsid w:val="00CA6F64"/>
    <w:rsid w:val="00CA7BF1"/>
    <w:rsid w:val="00CA7F2B"/>
    <w:rsid w:val="00CB1171"/>
    <w:rsid w:val="00CB242A"/>
    <w:rsid w:val="00CB42F9"/>
    <w:rsid w:val="00CB5216"/>
    <w:rsid w:val="00CB6BFD"/>
    <w:rsid w:val="00CC1BDB"/>
    <w:rsid w:val="00CC32FF"/>
    <w:rsid w:val="00CC3317"/>
    <w:rsid w:val="00CC69F6"/>
    <w:rsid w:val="00CD76EB"/>
    <w:rsid w:val="00CE2E22"/>
    <w:rsid w:val="00CE6E17"/>
    <w:rsid w:val="00CE6F18"/>
    <w:rsid w:val="00CF436D"/>
    <w:rsid w:val="00CF4803"/>
    <w:rsid w:val="00CF727E"/>
    <w:rsid w:val="00D0505E"/>
    <w:rsid w:val="00D069DA"/>
    <w:rsid w:val="00D108BE"/>
    <w:rsid w:val="00D10C4F"/>
    <w:rsid w:val="00D1443B"/>
    <w:rsid w:val="00D177F9"/>
    <w:rsid w:val="00D22E5E"/>
    <w:rsid w:val="00D236A7"/>
    <w:rsid w:val="00D2529E"/>
    <w:rsid w:val="00D2579A"/>
    <w:rsid w:val="00D27005"/>
    <w:rsid w:val="00D36395"/>
    <w:rsid w:val="00D36F0B"/>
    <w:rsid w:val="00D41CB7"/>
    <w:rsid w:val="00D44276"/>
    <w:rsid w:val="00D4593D"/>
    <w:rsid w:val="00D47A32"/>
    <w:rsid w:val="00D51960"/>
    <w:rsid w:val="00D54EED"/>
    <w:rsid w:val="00D57179"/>
    <w:rsid w:val="00D6017D"/>
    <w:rsid w:val="00D60D64"/>
    <w:rsid w:val="00D614FD"/>
    <w:rsid w:val="00D63D5F"/>
    <w:rsid w:val="00D64087"/>
    <w:rsid w:val="00D652E4"/>
    <w:rsid w:val="00D723A5"/>
    <w:rsid w:val="00D726F6"/>
    <w:rsid w:val="00D76A62"/>
    <w:rsid w:val="00D82BF9"/>
    <w:rsid w:val="00D83DB0"/>
    <w:rsid w:val="00D85FE0"/>
    <w:rsid w:val="00D87752"/>
    <w:rsid w:val="00D903BF"/>
    <w:rsid w:val="00D90D7F"/>
    <w:rsid w:val="00D939DF"/>
    <w:rsid w:val="00D95241"/>
    <w:rsid w:val="00DA14C5"/>
    <w:rsid w:val="00DA5174"/>
    <w:rsid w:val="00DB1F4D"/>
    <w:rsid w:val="00DB6191"/>
    <w:rsid w:val="00DB67AA"/>
    <w:rsid w:val="00DB701E"/>
    <w:rsid w:val="00DC1C44"/>
    <w:rsid w:val="00DC1FB8"/>
    <w:rsid w:val="00DD04EF"/>
    <w:rsid w:val="00DD09B1"/>
    <w:rsid w:val="00DD14D9"/>
    <w:rsid w:val="00DD40A4"/>
    <w:rsid w:val="00DD428E"/>
    <w:rsid w:val="00DD5345"/>
    <w:rsid w:val="00DE2A24"/>
    <w:rsid w:val="00DE3599"/>
    <w:rsid w:val="00DE5C55"/>
    <w:rsid w:val="00DE6ABC"/>
    <w:rsid w:val="00DE7286"/>
    <w:rsid w:val="00DF05A2"/>
    <w:rsid w:val="00DF1277"/>
    <w:rsid w:val="00DF17AB"/>
    <w:rsid w:val="00DF6AC8"/>
    <w:rsid w:val="00DF6FE9"/>
    <w:rsid w:val="00DF70A3"/>
    <w:rsid w:val="00DF7599"/>
    <w:rsid w:val="00E01408"/>
    <w:rsid w:val="00E12B0D"/>
    <w:rsid w:val="00E14295"/>
    <w:rsid w:val="00E1585D"/>
    <w:rsid w:val="00E162F4"/>
    <w:rsid w:val="00E16B4B"/>
    <w:rsid w:val="00E17AEA"/>
    <w:rsid w:val="00E32E85"/>
    <w:rsid w:val="00E369CC"/>
    <w:rsid w:val="00E401CC"/>
    <w:rsid w:val="00E41731"/>
    <w:rsid w:val="00E44017"/>
    <w:rsid w:val="00E477FE"/>
    <w:rsid w:val="00E47EC5"/>
    <w:rsid w:val="00E47FAE"/>
    <w:rsid w:val="00E51CA9"/>
    <w:rsid w:val="00E52AE2"/>
    <w:rsid w:val="00E53CB6"/>
    <w:rsid w:val="00E54223"/>
    <w:rsid w:val="00E573C9"/>
    <w:rsid w:val="00E60601"/>
    <w:rsid w:val="00E60A51"/>
    <w:rsid w:val="00E63C50"/>
    <w:rsid w:val="00E656E6"/>
    <w:rsid w:val="00E675CF"/>
    <w:rsid w:val="00E67F81"/>
    <w:rsid w:val="00E731EE"/>
    <w:rsid w:val="00E84803"/>
    <w:rsid w:val="00E84CBD"/>
    <w:rsid w:val="00E85860"/>
    <w:rsid w:val="00E906C9"/>
    <w:rsid w:val="00E94C21"/>
    <w:rsid w:val="00E95152"/>
    <w:rsid w:val="00E9608D"/>
    <w:rsid w:val="00EA1305"/>
    <w:rsid w:val="00EA53E4"/>
    <w:rsid w:val="00EA59CA"/>
    <w:rsid w:val="00EA7C28"/>
    <w:rsid w:val="00EB26BF"/>
    <w:rsid w:val="00EB2C39"/>
    <w:rsid w:val="00EB3297"/>
    <w:rsid w:val="00EB43DD"/>
    <w:rsid w:val="00EB524E"/>
    <w:rsid w:val="00EB5F78"/>
    <w:rsid w:val="00EC52AD"/>
    <w:rsid w:val="00EC761F"/>
    <w:rsid w:val="00ED1990"/>
    <w:rsid w:val="00ED33E2"/>
    <w:rsid w:val="00ED415C"/>
    <w:rsid w:val="00ED455A"/>
    <w:rsid w:val="00EE5914"/>
    <w:rsid w:val="00EE6C09"/>
    <w:rsid w:val="00EE6E05"/>
    <w:rsid w:val="00EF0B40"/>
    <w:rsid w:val="00EF2A6E"/>
    <w:rsid w:val="00EF3631"/>
    <w:rsid w:val="00EF4749"/>
    <w:rsid w:val="00EF4EE3"/>
    <w:rsid w:val="00EF56C2"/>
    <w:rsid w:val="00F01475"/>
    <w:rsid w:val="00F027EE"/>
    <w:rsid w:val="00F02B54"/>
    <w:rsid w:val="00F03DCE"/>
    <w:rsid w:val="00F10681"/>
    <w:rsid w:val="00F12A70"/>
    <w:rsid w:val="00F13C17"/>
    <w:rsid w:val="00F151B3"/>
    <w:rsid w:val="00F271DA"/>
    <w:rsid w:val="00F346AA"/>
    <w:rsid w:val="00F34918"/>
    <w:rsid w:val="00F353EA"/>
    <w:rsid w:val="00F365C9"/>
    <w:rsid w:val="00F410A3"/>
    <w:rsid w:val="00F42973"/>
    <w:rsid w:val="00F43DA3"/>
    <w:rsid w:val="00F43FC0"/>
    <w:rsid w:val="00F50806"/>
    <w:rsid w:val="00F662C5"/>
    <w:rsid w:val="00F6780E"/>
    <w:rsid w:val="00F67AE3"/>
    <w:rsid w:val="00F73941"/>
    <w:rsid w:val="00F81FE2"/>
    <w:rsid w:val="00F8639A"/>
    <w:rsid w:val="00F87BE8"/>
    <w:rsid w:val="00F87C98"/>
    <w:rsid w:val="00F949B2"/>
    <w:rsid w:val="00FA2A79"/>
    <w:rsid w:val="00FA3DBF"/>
    <w:rsid w:val="00FA4531"/>
    <w:rsid w:val="00FA491A"/>
    <w:rsid w:val="00FA5FA8"/>
    <w:rsid w:val="00FB2063"/>
    <w:rsid w:val="00FB5FB0"/>
    <w:rsid w:val="00FB756A"/>
    <w:rsid w:val="00FC13B6"/>
    <w:rsid w:val="00FC18A8"/>
    <w:rsid w:val="00FC1BCC"/>
    <w:rsid w:val="00FC32D5"/>
    <w:rsid w:val="00FC6E4E"/>
    <w:rsid w:val="00FD2518"/>
    <w:rsid w:val="00FD41A6"/>
    <w:rsid w:val="00FD47E7"/>
    <w:rsid w:val="00FD5A2B"/>
    <w:rsid w:val="00FE2A96"/>
    <w:rsid w:val="00FE6606"/>
    <w:rsid w:val="00FF096D"/>
    <w:rsid w:val="00FF0F89"/>
    <w:rsid w:val="00FF5A9B"/>
    <w:rsid w:val="00FF6706"/>
    <w:rsid w:val="00FF69D1"/>
    <w:rsid w:val="17E233D4"/>
    <w:rsid w:val="49EC7857"/>
    <w:rsid w:val="568A3D6F"/>
    <w:rsid w:val="5A8D16B5"/>
    <w:rsid w:val="5D2D080A"/>
    <w:rsid w:val="75440B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6"/>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4">
    <w:name w:val="页眉 Char"/>
    <w:basedOn w:val="11"/>
    <w:link w:val="7"/>
    <w:qFormat/>
    <w:uiPriority w:val="99"/>
    <w:rPr>
      <w:sz w:val="18"/>
      <w:szCs w:val="18"/>
    </w:rPr>
  </w:style>
  <w:style w:type="character" w:customStyle="1" w:styleId="15">
    <w:name w:val="页脚 Char"/>
    <w:basedOn w:val="11"/>
    <w:link w:val="6"/>
    <w:qFormat/>
    <w:uiPriority w:val="99"/>
    <w:rPr>
      <w:sz w:val="18"/>
      <w:szCs w:val="18"/>
    </w:rPr>
  </w:style>
  <w:style w:type="character" w:customStyle="1" w:styleId="16">
    <w:name w:val="批注框文本 Char"/>
    <w:basedOn w:val="11"/>
    <w:link w:val="5"/>
    <w:semiHidden/>
    <w:qFormat/>
    <w:uiPriority w:val="99"/>
    <w:rPr>
      <w:sz w:val="18"/>
      <w:szCs w:val="18"/>
    </w:rPr>
  </w:style>
  <w:style w:type="paragraph" w:customStyle="1" w:styleId="17">
    <w:name w:val="列出段落1"/>
    <w:basedOn w:val="1"/>
    <w:qFormat/>
    <w:uiPriority w:val="34"/>
    <w:pPr>
      <w:widowControl/>
      <w:ind w:firstLine="420" w:firstLineChars="200"/>
      <w:jc w:val="left"/>
    </w:pPr>
    <w:rPr>
      <w:rFonts w:ascii="宋体" w:hAnsi="宋体" w:eastAsia="宋体" w:cs="宋体"/>
      <w:kern w:val="0"/>
      <w:sz w:val="24"/>
      <w:szCs w:val="24"/>
    </w:rPr>
  </w:style>
  <w:style w:type="character" w:customStyle="1" w:styleId="18">
    <w:name w:val="标题 1 Char"/>
    <w:basedOn w:val="11"/>
    <w:link w:val="2"/>
    <w:qFormat/>
    <w:uiPriority w:val="9"/>
    <w:rPr>
      <w:b/>
      <w:bCs/>
      <w:kern w:val="44"/>
      <w:sz w:val="44"/>
      <w:szCs w:val="44"/>
    </w:rPr>
  </w:style>
  <w:style w:type="character" w:customStyle="1" w:styleId="19">
    <w:name w:val="标题 2 Char"/>
    <w:basedOn w:val="11"/>
    <w:link w:val="3"/>
    <w:qFormat/>
    <w:uiPriority w:val="9"/>
    <w:rPr>
      <w:rFonts w:asciiTheme="majorHAnsi" w:hAnsiTheme="majorHAnsi" w:eastAsiaTheme="majorEastAsia" w:cstheme="majorBidi"/>
      <w:b/>
      <w:bCs/>
      <w:sz w:val="32"/>
      <w:szCs w:val="32"/>
    </w:rPr>
  </w:style>
  <w:style w:type="character" w:customStyle="1" w:styleId="20">
    <w:name w:val="标题 3 Char"/>
    <w:basedOn w:val="11"/>
    <w:link w:val="4"/>
    <w:qFormat/>
    <w:uiPriority w:val="9"/>
    <w:rPr>
      <w:b/>
      <w:bCs/>
      <w:sz w:val="32"/>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2">
    <w:name w:val="列出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56E46-292F-473E-B52F-10A992C34E8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1046</Words>
  <Characters>5968</Characters>
  <Lines>49</Lines>
  <Paragraphs>13</Paragraphs>
  <TotalTime>6</TotalTime>
  <ScaleCrop>false</ScaleCrop>
  <LinksUpToDate>false</LinksUpToDate>
  <CharactersWithSpaces>7001</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2017-05-22T08:30:00Z</dcterms:created>
  <dc:creator>LK</dc:creator>
  <cp:lastModifiedBy>快乐生活每一天</cp:lastModifiedBy>
  <cp:lastPrinted>2017-08-21T02:44:00Z</cp:lastPrinted>
  <dcterms:modified xsi:type="dcterms:W3CDTF">2018-05-24T04:53:24Z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